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p>
    <w:p>
      <w:pPr>
        <w:jc w:val="center"/>
        <w:rPr>
          <w:rFonts w:ascii="华文中宋" w:hAnsi="华文中宋" w:eastAsia="华文中宋"/>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农投良品</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信息化管理平台建设采购项目</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比选文件</w:t>
      </w:r>
    </w:p>
    <w:p>
      <w:pPr>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ind w:firstLine="1980" w:firstLineChars="550"/>
        <w:rPr>
          <w:rFonts w:ascii="华文中宋" w:hAnsi="华文中宋" w:eastAsia="华文中宋"/>
          <w:sz w:val="36"/>
          <w:szCs w:val="44"/>
        </w:rPr>
      </w:pPr>
    </w:p>
    <w:p>
      <w:pPr>
        <w:jc w:val="center"/>
        <w:rPr>
          <w:rFonts w:ascii="仿宋_GB2312" w:hAnsi="华文中宋" w:eastAsia="仿宋_GB2312"/>
          <w:b/>
          <w:sz w:val="32"/>
          <w:szCs w:val="32"/>
        </w:rPr>
      </w:pPr>
      <w:r>
        <w:rPr>
          <w:rFonts w:hint="eastAsia" w:ascii="仿宋_GB2312" w:hAnsi="华文中宋" w:eastAsia="仿宋_GB2312"/>
          <w:b/>
          <w:sz w:val="32"/>
          <w:szCs w:val="32"/>
        </w:rPr>
        <w:t>采购人：重庆市农投良品有限公司</w:t>
      </w:r>
    </w:p>
    <w:p>
      <w:pPr>
        <w:jc w:val="center"/>
        <w:rPr>
          <w:rFonts w:ascii="仿宋_GB2312" w:hAnsi="华文中宋" w:eastAsia="仿宋_GB2312"/>
          <w:b/>
          <w:sz w:val="32"/>
          <w:szCs w:val="32"/>
        </w:rPr>
      </w:pPr>
      <w:r>
        <w:rPr>
          <w:rFonts w:hint="eastAsia" w:ascii="仿宋_GB2312" w:hAnsi="华文中宋" w:eastAsia="仿宋_GB2312"/>
          <w:b/>
          <w:sz w:val="32"/>
          <w:szCs w:val="32"/>
        </w:rPr>
        <w:t>2</w:t>
      </w:r>
      <w:r>
        <w:rPr>
          <w:rFonts w:ascii="仿宋_GB2312" w:hAnsi="华文中宋" w:eastAsia="仿宋_GB2312"/>
          <w:b/>
          <w:sz w:val="32"/>
          <w:szCs w:val="32"/>
        </w:rPr>
        <w:t>019</w:t>
      </w:r>
      <w:r>
        <w:rPr>
          <w:rFonts w:hint="eastAsia" w:ascii="仿宋_GB2312" w:hAnsi="华文中宋" w:eastAsia="仿宋_GB2312"/>
          <w:b/>
          <w:sz w:val="32"/>
          <w:szCs w:val="32"/>
        </w:rPr>
        <w:t>年</w:t>
      </w:r>
      <w:r>
        <w:rPr>
          <w:rFonts w:ascii="仿宋_GB2312" w:hAnsi="华文中宋" w:eastAsia="仿宋_GB2312"/>
          <w:b/>
          <w:sz w:val="32"/>
          <w:szCs w:val="32"/>
        </w:rPr>
        <w:t>1</w:t>
      </w:r>
      <w:r>
        <w:rPr>
          <w:rFonts w:hint="eastAsia" w:ascii="仿宋_GB2312" w:hAnsi="华文中宋" w:eastAsia="仿宋_GB2312"/>
          <w:b/>
          <w:sz w:val="32"/>
          <w:szCs w:val="32"/>
        </w:rPr>
        <w:t>1月</w:t>
      </w:r>
    </w:p>
    <w:p>
      <w:pPr>
        <w:rPr>
          <w:rFonts w:ascii="仿宋_GB2312" w:hAnsi="宋体" w:eastAsia="仿宋_GB2312"/>
          <w:b/>
          <w:sz w:val="32"/>
          <w:szCs w:val="32"/>
        </w:rPr>
      </w:pPr>
      <w:r>
        <w:rPr>
          <w:rFonts w:hint="eastAsia" w:ascii="仿宋_GB2312" w:hAnsi="宋体" w:eastAsia="仿宋_GB2312"/>
          <w:b/>
          <w:sz w:val="32"/>
          <w:szCs w:val="32"/>
        </w:rPr>
        <w:t xml:space="preserve"> </w:t>
      </w:r>
      <w:r>
        <w:rPr>
          <w:rFonts w:ascii="仿宋_GB2312" w:hAnsi="宋体" w:eastAsia="仿宋_GB2312"/>
          <w:b/>
          <w:sz w:val="32"/>
          <w:szCs w:val="32"/>
        </w:rPr>
        <w:t xml:space="preserve"> </w:t>
      </w:r>
    </w:p>
    <w:p>
      <w:pPr>
        <w:rPr>
          <w:rFonts w:ascii="仿宋_GB2312" w:hAnsi="宋体" w:eastAsia="仿宋_GB2312"/>
          <w:b/>
          <w:sz w:val="32"/>
          <w:szCs w:val="32"/>
        </w:rPr>
      </w:pPr>
    </w:p>
    <w:p>
      <w:pPr>
        <w:rPr>
          <w:rFonts w:ascii="仿宋_GB2312" w:hAnsi="宋体" w:eastAsia="仿宋_GB2312"/>
          <w:b/>
          <w:sz w:val="32"/>
          <w:szCs w:val="32"/>
        </w:rPr>
      </w:pPr>
    </w:p>
    <w:p>
      <w:pPr>
        <w:rPr>
          <w:rFonts w:ascii="仿宋_GB2312" w:hAnsi="宋体" w:eastAsia="仿宋_GB2312"/>
          <w:b/>
          <w:sz w:val="32"/>
          <w:szCs w:val="32"/>
        </w:rPr>
      </w:pPr>
    </w:p>
    <w:sdt>
      <w:sdtPr>
        <w:rPr>
          <w:rFonts w:ascii="Times New Roman" w:hAnsi="Times New Roman" w:eastAsia="宋体" w:cs="Times New Roman"/>
          <w:color w:val="auto"/>
          <w:kern w:val="2"/>
          <w:sz w:val="21"/>
          <w:szCs w:val="20"/>
          <w:lang w:val="zh-CN"/>
        </w:rPr>
        <w:id w:val="656186664"/>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40"/>
            <w:jc w:val="center"/>
          </w:pPr>
          <w:bookmarkStart w:id="0" w:name="_Toc22091"/>
          <w:bookmarkStart w:id="1" w:name="_Toc23476"/>
          <w:r>
            <w:rPr>
              <w:lang w:val="zh-CN"/>
            </w:rPr>
            <w:t>目</w:t>
          </w:r>
          <w:r>
            <w:rPr>
              <w:rFonts w:hint="eastAsia"/>
              <w:lang w:val="zh-CN"/>
            </w:rPr>
            <w:t xml:space="preserve"> </w:t>
          </w:r>
          <w:r>
            <w:rPr>
              <w:lang w:val="zh-CN"/>
            </w:rPr>
            <w:t xml:space="preserve">  录</w:t>
          </w:r>
        </w:p>
        <w:p>
          <w:pPr>
            <w:pStyle w:val="16"/>
            <w:tabs>
              <w:tab w:val="right" w:leader="dot" w:pos="9487"/>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"_Toc22565946" </w:instrText>
          </w:r>
          <w:r>
            <w:fldChar w:fldCharType="separate"/>
          </w:r>
          <w:r>
            <w:rPr>
              <w:rStyle w:val="20"/>
              <w:rFonts w:ascii="宋体" w:hAnsi="宋体"/>
              <w:b/>
            </w:rPr>
            <w:t>第一章 比选公告</w:t>
          </w:r>
          <w:r>
            <w:tab/>
          </w:r>
          <w:r>
            <w:fldChar w:fldCharType="begin"/>
          </w:r>
          <w:r>
            <w:instrText xml:space="preserve"> PAGEREF _Toc22565946 \h </w:instrText>
          </w:r>
          <w:r>
            <w:fldChar w:fldCharType="separate"/>
          </w:r>
          <w:r>
            <w:t>- 3 -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"_Toc22565947" </w:instrText>
          </w:r>
          <w:r>
            <w:fldChar w:fldCharType="separate"/>
          </w:r>
          <w:r>
            <w:rPr>
              <w:rStyle w:val="20"/>
              <w:rFonts w:ascii="宋体" w:hAnsi="宋体"/>
              <w:b/>
            </w:rPr>
            <w:t>第二章 比选须知</w:t>
          </w:r>
          <w:r>
            <w:tab/>
          </w:r>
          <w:r>
            <w:fldChar w:fldCharType="begin"/>
          </w:r>
          <w:r>
            <w:instrText xml:space="preserve"> PAGEREF _Toc22565947 \h </w:instrText>
          </w:r>
          <w:r>
            <w:fldChar w:fldCharType="separate"/>
          </w:r>
          <w:r>
            <w:t>- 5 -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"_Toc22565948" </w:instrText>
          </w:r>
          <w:r>
            <w:fldChar w:fldCharType="separate"/>
          </w:r>
          <w:r>
            <w:rPr>
              <w:rStyle w:val="20"/>
              <w:rFonts w:ascii="宋体" w:hAnsi="宋体"/>
              <w:b/>
            </w:rPr>
            <w:t>第三章 比选文件要求</w:t>
          </w:r>
          <w:r>
            <w:tab/>
          </w:r>
          <w:r>
            <w:fldChar w:fldCharType="begin"/>
          </w:r>
          <w:r>
            <w:instrText xml:space="preserve"> PAGEREF _Toc22565948 \h </w:instrText>
          </w:r>
          <w:r>
            <w:fldChar w:fldCharType="separate"/>
          </w:r>
          <w:r>
            <w:t>- 6 -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"_Toc22565949" </w:instrText>
          </w:r>
          <w:r>
            <w:fldChar w:fldCharType="separate"/>
          </w:r>
          <w:r>
            <w:rPr>
              <w:rStyle w:val="20"/>
              <w:rFonts w:ascii="宋体" w:hAnsi="宋体"/>
              <w:b/>
            </w:rPr>
            <w:t>第四章 开标及评标</w:t>
          </w:r>
          <w:r>
            <w:tab/>
          </w:r>
          <w:r>
            <w:fldChar w:fldCharType="begin"/>
          </w:r>
          <w:r>
            <w:instrText xml:space="preserve"> PAGEREF _Toc22565949 \h </w:instrText>
          </w:r>
          <w:r>
            <w:fldChar w:fldCharType="separate"/>
          </w:r>
          <w:r>
            <w:t>- 8 -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"_Toc22565950" </w:instrText>
          </w:r>
          <w:r>
            <w:fldChar w:fldCharType="separate"/>
          </w:r>
          <w:r>
            <w:rPr>
              <w:rStyle w:val="20"/>
              <w:rFonts w:ascii="宋体" w:hAnsi="宋体"/>
              <w:b/>
            </w:rPr>
            <w:t>第五章 具体要求</w:t>
          </w:r>
          <w:r>
            <w:tab/>
          </w:r>
          <w:r>
            <w:fldChar w:fldCharType="begin"/>
          </w:r>
          <w:r>
            <w:instrText xml:space="preserve"> PAGEREF _Toc22565950 \h </w:instrText>
          </w:r>
          <w:r>
            <w:fldChar w:fldCharType="separate"/>
          </w:r>
          <w:r>
            <w:t>- 11 -</w:t>
          </w:r>
          <w:r>
            <w:fldChar w:fldCharType="end"/>
          </w:r>
          <w:r>
            <w:fldChar w:fldCharType="end"/>
          </w:r>
        </w:p>
        <w:p>
          <w:pPr>
            <w:pStyle w:val="17"/>
            <w:tabs>
              <w:tab w:val="left" w:pos="1050"/>
              <w:tab w:val="right" w:leader="dot" w:pos="9487"/>
            </w:tabs>
            <w:rPr>
              <w:rFonts w:cstheme="minorBidi"/>
              <w:kern w:val="2"/>
              <w:sz w:val="21"/>
            </w:rPr>
          </w:pPr>
          <w:r>
            <w:fldChar w:fldCharType="begin"/>
          </w:r>
          <w:r>
            <w:instrText xml:space="preserve"> HYPERLINK \l "_Toc22565951" </w:instrText>
          </w:r>
          <w:r>
            <w:fldChar w:fldCharType="separate"/>
          </w:r>
          <w:r>
            <w:rPr>
              <w:rStyle w:val="20"/>
              <w:lang w:val="zh-CN"/>
            </w:rPr>
            <w:t>一、</w:t>
          </w:r>
          <w:r>
            <w:rPr>
              <w:rFonts w:cstheme="minorBidi"/>
              <w:kern w:val="2"/>
              <w:sz w:val="21"/>
            </w:rPr>
            <w:tab/>
          </w:r>
          <w:r>
            <w:rPr>
              <w:rStyle w:val="20"/>
              <w:lang w:val="zh-CN"/>
            </w:rPr>
            <w:t>系统建设方案</w:t>
          </w:r>
          <w:r>
            <w:tab/>
          </w:r>
          <w:r>
            <w:fldChar w:fldCharType="begin"/>
          </w:r>
          <w:r>
            <w:instrText xml:space="preserve"> PAGEREF _Toc22565951 \h </w:instrText>
          </w:r>
          <w:r>
            <w:fldChar w:fldCharType="separate"/>
          </w:r>
          <w:r>
            <w:t>- 11 -</w:t>
          </w:r>
          <w:r>
            <w:fldChar w:fldCharType="end"/>
          </w:r>
          <w:r>
            <w:fldChar w:fldCharType="end"/>
          </w:r>
        </w:p>
        <w:p>
          <w:pPr>
            <w:pStyle w:val="17"/>
            <w:tabs>
              <w:tab w:val="left" w:pos="1050"/>
              <w:tab w:val="right" w:leader="dot" w:pos="9487"/>
            </w:tabs>
            <w:rPr>
              <w:rFonts w:cstheme="minorBidi"/>
              <w:kern w:val="2"/>
              <w:sz w:val="21"/>
            </w:rPr>
          </w:pPr>
          <w:r>
            <w:fldChar w:fldCharType="begin"/>
          </w:r>
          <w:r>
            <w:instrText xml:space="preserve"> HYPERLINK \l "_Toc22565952" </w:instrText>
          </w:r>
          <w:r>
            <w:fldChar w:fldCharType="separate"/>
          </w:r>
          <w:r>
            <w:rPr>
              <w:rStyle w:val="20"/>
              <w:lang w:val="zh-CN"/>
            </w:rPr>
            <w:t>二、</w:t>
          </w:r>
          <w:r>
            <w:rPr>
              <w:rFonts w:cstheme="minorBidi"/>
              <w:kern w:val="2"/>
              <w:sz w:val="21"/>
            </w:rPr>
            <w:tab/>
          </w:r>
          <w:r>
            <w:rPr>
              <w:rStyle w:val="20"/>
              <w:lang w:val="zh-CN"/>
            </w:rPr>
            <w:t>系统技术要求</w:t>
          </w:r>
          <w:r>
            <w:tab/>
          </w:r>
          <w:r>
            <w:fldChar w:fldCharType="begin"/>
          </w:r>
          <w:r>
            <w:instrText xml:space="preserve"> PAGEREF _Toc22565952 \h </w:instrText>
          </w:r>
          <w:r>
            <w:fldChar w:fldCharType="separate"/>
          </w:r>
          <w:r>
            <w:t>- 12 -</w:t>
          </w:r>
          <w:r>
            <w:fldChar w:fldCharType="end"/>
          </w:r>
          <w:r>
            <w:fldChar w:fldCharType="end"/>
          </w:r>
        </w:p>
        <w:p>
          <w:pPr>
            <w:pStyle w:val="17"/>
            <w:tabs>
              <w:tab w:val="left" w:pos="1050"/>
              <w:tab w:val="right" w:leader="dot" w:pos="9487"/>
            </w:tabs>
            <w:rPr>
              <w:rFonts w:cstheme="minorBidi"/>
              <w:kern w:val="2"/>
              <w:sz w:val="21"/>
            </w:rPr>
          </w:pPr>
          <w:r>
            <w:fldChar w:fldCharType="begin"/>
          </w:r>
          <w:r>
            <w:instrText xml:space="preserve"> HYPERLINK \l "_Toc22565953" </w:instrText>
          </w:r>
          <w:r>
            <w:fldChar w:fldCharType="separate"/>
          </w:r>
          <w:r>
            <w:rPr>
              <w:rStyle w:val="20"/>
              <w:lang w:val="zh-CN"/>
            </w:rPr>
            <w:t>三、</w:t>
          </w:r>
          <w:r>
            <w:rPr>
              <w:rFonts w:cstheme="minorBidi"/>
              <w:kern w:val="2"/>
              <w:sz w:val="21"/>
            </w:rPr>
            <w:tab/>
          </w:r>
          <w:r>
            <w:rPr>
              <w:rStyle w:val="20"/>
              <w:lang w:val="zh-CN"/>
            </w:rPr>
            <w:t>项目实施要求</w:t>
          </w:r>
          <w:r>
            <w:tab/>
          </w:r>
          <w:r>
            <w:fldChar w:fldCharType="begin"/>
          </w:r>
          <w:r>
            <w:instrText xml:space="preserve"> PAGEREF _Toc22565953 \h </w:instrText>
          </w:r>
          <w:r>
            <w:fldChar w:fldCharType="separate"/>
          </w:r>
          <w:r>
            <w:t>- 14 -</w:t>
          </w:r>
          <w:r>
            <w:fldChar w:fldCharType="end"/>
          </w:r>
          <w:r>
            <w:fldChar w:fldCharType="end"/>
          </w:r>
        </w:p>
        <w:p>
          <w:pPr>
            <w:pStyle w:val="17"/>
            <w:tabs>
              <w:tab w:val="left" w:pos="1050"/>
              <w:tab w:val="right" w:leader="dot" w:pos="9487"/>
            </w:tabs>
            <w:rPr>
              <w:rFonts w:cstheme="minorBidi"/>
              <w:kern w:val="2"/>
              <w:sz w:val="21"/>
            </w:rPr>
          </w:pPr>
          <w:r>
            <w:fldChar w:fldCharType="begin"/>
          </w:r>
          <w:r>
            <w:instrText xml:space="preserve"> HYPERLINK \l "_Toc22565954" </w:instrText>
          </w:r>
          <w:r>
            <w:fldChar w:fldCharType="separate"/>
          </w:r>
          <w:r>
            <w:rPr>
              <w:rStyle w:val="20"/>
              <w:lang w:val="zh-CN"/>
            </w:rPr>
            <w:t>四、</w:t>
          </w:r>
          <w:r>
            <w:rPr>
              <w:rFonts w:cstheme="minorBidi"/>
              <w:kern w:val="2"/>
              <w:sz w:val="21"/>
            </w:rPr>
            <w:tab/>
          </w:r>
          <w:r>
            <w:rPr>
              <w:rStyle w:val="20"/>
              <w:lang w:val="zh-CN"/>
            </w:rPr>
            <w:t>技术支持及服务保障</w:t>
          </w:r>
          <w:r>
            <w:tab/>
          </w:r>
          <w:r>
            <w:fldChar w:fldCharType="begin"/>
          </w:r>
          <w:r>
            <w:instrText xml:space="preserve"> PAGEREF _Toc22565954 \h </w:instrText>
          </w:r>
          <w:r>
            <w:fldChar w:fldCharType="separate"/>
          </w:r>
          <w:r>
            <w:t>- 16 -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"_Toc22565955" </w:instrText>
          </w:r>
          <w:r>
            <w:fldChar w:fldCharType="separate"/>
          </w:r>
          <w:r>
            <w:rPr>
              <w:rStyle w:val="20"/>
              <w:rFonts w:ascii="宋体" w:hAnsi="宋体"/>
              <w:b/>
            </w:rPr>
            <w:t>第六章 总体要求及报价说明</w:t>
          </w:r>
          <w:r>
            <w:tab/>
          </w:r>
          <w:r>
            <w:fldChar w:fldCharType="begin"/>
          </w:r>
          <w:r>
            <w:instrText xml:space="preserve"> PAGEREF _Toc22565955 \h </w:instrText>
          </w:r>
          <w:r>
            <w:fldChar w:fldCharType="separate"/>
          </w:r>
          <w:r>
            <w:t>- 17 -</w:t>
          </w:r>
          <w:r>
            <w:fldChar w:fldCharType="end"/>
          </w:r>
          <w:r>
            <w:fldChar w:fldCharType="end"/>
          </w:r>
        </w:p>
        <w:p>
          <w:pPr>
            <w:pStyle w:val="16"/>
            <w:tabs>
              <w:tab w:val="right" w:leader="dot" w:pos="9487"/>
            </w:tabs>
            <w:rPr>
              <w:rFonts w:asciiTheme="minorHAnsi" w:hAnsiTheme="minorHAnsi" w:eastAsiaTheme="minorEastAsia" w:cstheme="minorBidi"/>
              <w:szCs w:val="22"/>
            </w:rPr>
          </w:pPr>
          <w:r>
            <w:fldChar w:fldCharType="begin"/>
          </w:r>
          <w:r>
            <w:instrText xml:space="preserve"> HYPERLINK \l "_Toc22565956" </w:instrText>
          </w:r>
          <w:r>
            <w:fldChar w:fldCharType="separate"/>
          </w:r>
          <w:r>
            <w:rPr>
              <w:rStyle w:val="20"/>
              <w:rFonts w:ascii="宋体" w:hAnsi="宋体"/>
              <w:b/>
            </w:rPr>
            <w:t>第七章 投标格式</w:t>
          </w:r>
          <w:r>
            <w:tab/>
          </w:r>
          <w:r>
            <w:fldChar w:fldCharType="begin"/>
          </w:r>
          <w:r>
            <w:instrText xml:space="preserve"> PAGEREF _Toc22565956 \h </w:instrText>
          </w:r>
          <w:r>
            <w:fldChar w:fldCharType="separate"/>
          </w:r>
          <w:r>
            <w:t>- 18 -</w:t>
          </w:r>
          <w:r>
            <w:fldChar w:fldCharType="end"/>
          </w:r>
          <w:r>
            <w:fldChar w:fldCharType="end"/>
          </w:r>
        </w:p>
        <w:p>
          <w:r>
            <w:rPr>
              <w:b/>
              <w:bCs/>
              <w:lang w:val="zh-CN"/>
            </w:rPr>
            <w:fldChar w:fldCharType="end"/>
          </w:r>
        </w:p>
      </w:sdtContent>
    </w:sdt>
    <w:p/>
    <w:p/>
    <w:p/>
    <w:p/>
    <w:p/>
    <w:p/>
    <w:p/>
    <w:p/>
    <w:p/>
    <w:p/>
    <w:p/>
    <w:p/>
    <w:p/>
    <w:p/>
    <w:p/>
    <w:p/>
    <w:p/>
    <w:p/>
    <w:p/>
    <w:p/>
    <w:p/>
    <w:p/>
    <w:p/>
    <w:p/>
    <w:p/>
    <w:p/>
    <w:p/>
    <w:p>
      <w:pPr>
        <w:numPr>
          <w:ilvl w:val="0"/>
          <w:numId w:val="1"/>
        </w:numPr>
        <w:jc w:val="center"/>
        <w:outlineLvl w:val="0"/>
        <w:rPr>
          <w:rFonts w:ascii="宋体" w:hAnsi="宋体"/>
          <w:b/>
          <w:sz w:val="32"/>
          <w:szCs w:val="32"/>
        </w:rPr>
      </w:pPr>
      <w:bookmarkStart w:id="2" w:name="_Toc25337"/>
      <w:bookmarkStart w:id="3" w:name="_Toc13074"/>
      <w:bookmarkStart w:id="4" w:name="_Toc22122852"/>
      <w:bookmarkStart w:id="5" w:name="_Toc22565946"/>
      <w:r>
        <w:rPr>
          <w:rFonts w:hint="eastAsia" w:ascii="宋体" w:hAnsi="宋体"/>
          <w:b/>
          <w:sz w:val="32"/>
          <w:szCs w:val="32"/>
        </w:rPr>
        <w:t>比选公告</w:t>
      </w:r>
      <w:bookmarkEnd w:id="0"/>
      <w:bookmarkEnd w:id="1"/>
      <w:bookmarkEnd w:id="2"/>
      <w:bookmarkEnd w:id="3"/>
      <w:bookmarkEnd w:id="4"/>
      <w:bookmarkEnd w:id="5"/>
    </w:p>
    <w:p>
      <w:pPr>
        <w:spacing w:line="360" w:lineRule="auto"/>
        <w:ind w:firstLine="420"/>
        <w:rPr>
          <w:sz w:val="24"/>
          <w:szCs w:val="24"/>
        </w:rPr>
      </w:pPr>
      <w:r>
        <w:rPr>
          <w:rFonts w:hint="eastAsia"/>
          <w:sz w:val="24"/>
          <w:szCs w:val="24"/>
        </w:rPr>
        <w:t>根据重庆农投良品有限公司（以下简称农投良品公司）因业务发展需要，为提升企业管理水平，建立全新商业模式，构建一套支撑企业全面发展的商业管理平台。特邀广大软件厂商参与比选，农投良品公司将本着“公平公正择优”的原则进行评选。</w:t>
      </w:r>
    </w:p>
    <w:p>
      <w:pPr>
        <w:numPr>
          <w:ilvl w:val="0"/>
          <w:numId w:val="2"/>
        </w:numPr>
        <w:spacing w:line="360" w:lineRule="auto"/>
        <w:ind w:left="0" w:firstLine="482" w:firstLineChars="200"/>
        <w:rPr>
          <w:rFonts w:ascii="宋体" w:hAnsi="宋体"/>
          <w:b/>
          <w:bCs/>
          <w:sz w:val="24"/>
        </w:rPr>
      </w:pPr>
      <w:r>
        <w:rPr>
          <w:rFonts w:hint="eastAsia" w:ascii="宋体" w:hAnsi="宋体"/>
          <w:b/>
          <w:bCs/>
          <w:sz w:val="24"/>
        </w:rPr>
        <w:t>项目简介</w:t>
      </w:r>
    </w:p>
    <w:p>
      <w:pPr>
        <w:numPr>
          <w:ilvl w:val="1"/>
          <w:numId w:val="2"/>
        </w:numPr>
        <w:spacing w:line="360" w:lineRule="auto"/>
        <w:ind w:left="0" w:firstLine="480" w:firstLineChars="200"/>
        <w:rPr>
          <w:rFonts w:ascii="宋体" w:hAnsi="宋体"/>
          <w:sz w:val="24"/>
        </w:rPr>
      </w:pPr>
      <w:r>
        <w:rPr>
          <w:rFonts w:hint="eastAsia" w:ascii="宋体" w:hAnsi="宋体"/>
          <w:sz w:val="24"/>
        </w:rPr>
        <w:t>招标名称：农投良品</w:t>
      </w:r>
      <w:r>
        <w:rPr>
          <w:rFonts w:hint="eastAsia" w:ascii="宋体" w:hAnsi="宋体" w:cs="宋体"/>
          <w:kern w:val="0"/>
          <w:sz w:val="24"/>
        </w:rPr>
        <w:t>信息化管理平台项目</w:t>
      </w:r>
    </w:p>
    <w:p>
      <w:pPr>
        <w:numPr>
          <w:ilvl w:val="1"/>
          <w:numId w:val="2"/>
        </w:numPr>
        <w:spacing w:line="360" w:lineRule="auto"/>
        <w:ind w:left="0" w:firstLine="480" w:firstLineChars="200"/>
        <w:rPr>
          <w:rFonts w:ascii="宋体" w:hAnsi="宋体"/>
          <w:sz w:val="24"/>
        </w:rPr>
      </w:pPr>
      <w:r>
        <w:rPr>
          <w:rFonts w:hint="eastAsia" w:ascii="宋体" w:hAnsi="宋体"/>
          <w:sz w:val="24"/>
        </w:rPr>
        <w:t>比选内容：</w:t>
      </w:r>
      <w:r>
        <w:rPr>
          <w:rFonts w:hint="eastAsia"/>
          <w:sz w:val="24"/>
          <w:szCs w:val="21"/>
        </w:rPr>
        <w:t>根据农投良品公司的业务形态编制切实可以落地实施的前、中、后台整体解决方案，帮助农投良品公司实现财务业务一体化，实现内控、外联的整体目标。包括：覆盖各事业部及合作伙伴的集团化ERP后台系统；全渠道会员管理、渠道订货平台等中控系统；电商平台对接、线上自建商城、线下连锁零售等前台系统；供应商平台，包含线上线下订单分发、发货确认，对账结算；费用预算与费用报销管理；OA系统。</w:t>
      </w:r>
    </w:p>
    <w:p>
      <w:pPr>
        <w:widowControl/>
        <w:numPr>
          <w:ilvl w:val="0"/>
          <w:numId w:val="2"/>
        </w:numPr>
        <w:spacing w:line="360" w:lineRule="auto"/>
        <w:ind w:left="0" w:firstLine="482" w:firstLineChars="200"/>
        <w:jc w:val="left"/>
        <w:rPr>
          <w:rFonts w:ascii="宋体" w:hAnsi="宋体"/>
          <w:b/>
          <w:bCs/>
          <w:sz w:val="24"/>
        </w:rPr>
      </w:pPr>
      <w:r>
        <w:rPr>
          <w:rFonts w:ascii="宋体" w:hAnsi="宋体" w:cs="宋体"/>
          <w:b/>
          <w:bCs/>
          <w:kern w:val="0"/>
          <w:sz w:val="24"/>
        </w:rPr>
        <w:t>投标单位资质</w:t>
      </w:r>
      <w:r>
        <w:rPr>
          <w:rFonts w:hint="eastAsia" w:ascii="宋体" w:hAnsi="宋体" w:cs="宋体"/>
          <w:b/>
          <w:bCs/>
          <w:kern w:val="0"/>
          <w:sz w:val="24"/>
        </w:rPr>
        <w:t>及相关</w:t>
      </w:r>
      <w:r>
        <w:rPr>
          <w:rFonts w:ascii="宋体" w:hAnsi="宋体" w:cs="宋体"/>
          <w:b/>
          <w:bCs/>
          <w:kern w:val="0"/>
          <w:sz w:val="24"/>
        </w:rPr>
        <w:t>要求</w:t>
      </w:r>
    </w:p>
    <w:p>
      <w:pPr>
        <w:pStyle w:val="32"/>
        <w:spacing w:line="360" w:lineRule="auto"/>
        <w:ind w:left="420" w:firstLine="480"/>
        <w:rPr>
          <w:rFonts w:ascii="宋体" w:hAnsi="宋体"/>
          <w:sz w:val="24"/>
          <w:szCs w:val="24"/>
        </w:rPr>
      </w:pPr>
      <w:r>
        <w:rPr>
          <w:rFonts w:hint="eastAsia" w:ascii="宋体" w:hAnsi="宋体"/>
          <w:sz w:val="24"/>
          <w:szCs w:val="24"/>
        </w:rPr>
        <w:t>投标人是指向采购人提供服务或者货物的法人、其他组织或者自然人。合格投标人应首先符合政府采购法第二十二条规定的基本条件。</w:t>
      </w:r>
    </w:p>
    <w:p>
      <w:pPr>
        <w:numPr>
          <w:ilvl w:val="0"/>
          <w:numId w:val="3"/>
        </w:numPr>
        <w:spacing w:line="360" w:lineRule="auto"/>
        <w:ind w:left="0" w:firstLine="480" w:firstLineChars="200"/>
        <w:rPr>
          <w:rFonts w:ascii="宋体" w:hAnsi="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在中华人民共和国境内注册、具有履行合同的能力和良好的履行合同记录、具有良好的财务状况和商业信誉、具有独立承担民事责任的法人或其他经济组织。</w:t>
      </w:r>
    </w:p>
    <w:p>
      <w:pPr>
        <w:numPr>
          <w:ilvl w:val="0"/>
          <w:numId w:val="3"/>
        </w:numPr>
        <w:spacing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具有履行合同所必需的设备和专业技术能力；</w:t>
      </w:r>
    </w:p>
    <w:p>
      <w:pPr>
        <w:numPr>
          <w:ilvl w:val="0"/>
          <w:numId w:val="3"/>
        </w:numPr>
        <w:spacing w:line="360" w:lineRule="auto"/>
        <w:ind w:left="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在经营活动中没有重大违法记录；</w:t>
      </w:r>
    </w:p>
    <w:p>
      <w:pPr>
        <w:numPr>
          <w:ilvl w:val="0"/>
          <w:numId w:val="3"/>
        </w:numPr>
        <w:spacing w:line="360" w:lineRule="auto"/>
        <w:ind w:left="0" w:firstLine="480" w:firstLineChars="200"/>
        <w:rPr>
          <w:rFonts w:ascii="宋体" w:hAnsi="宋体"/>
          <w:sz w:val="24"/>
        </w:rPr>
      </w:pPr>
      <w:r>
        <w:rPr>
          <w:rFonts w:hint="eastAsia" w:ascii="宋体" w:cs="宋体"/>
          <w:sz w:val="24"/>
          <w:lang w:val="zh-CN"/>
        </w:rPr>
        <w:t>企业实缴资金在100万及上。</w:t>
      </w:r>
    </w:p>
    <w:p>
      <w:pPr>
        <w:numPr>
          <w:ilvl w:val="0"/>
          <w:numId w:val="3"/>
        </w:numPr>
        <w:spacing w:line="360" w:lineRule="auto"/>
        <w:ind w:left="0" w:firstLine="480" w:firstLineChars="200"/>
        <w:rPr>
          <w:rFonts w:ascii="宋体" w:hAnsi="宋体"/>
          <w:sz w:val="24"/>
        </w:rPr>
      </w:pPr>
      <w:r>
        <w:rPr>
          <w:rFonts w:hint="eastAsia" w:ascii="宋体" w:cs="宋体"/>
          <w:sz w:val="24"/>
          <w:lang w:val="zh-CN"/>
        </w:rPr>
        <w:t>投标人能承担与投标价相应的法律与经济责任；</w:t>
      </w:r>
    </w:p>
    <w:p>
      <w:pPr>
        <w:numPr>
          <w:ilvl w:val="0"/>
          <w:numId w:val="3"/>
        </w:numPr>
        <w:spacing w:line="360" w:lineRule="auto"/>
        <w:ind w:left="0" w:firstLine="480" w:firstLineChars="200"/>
        <w:rPr>
          <w:rFonts w:ascii="宋体" w:hAnsi="宋体"/>
          <w:sz w:val="24"/>
        </w:rPr>
      </w:pPr>
      <w:r>
        <w:rPr>
          <w:rFonts w:hint="eastAsia"/>
          <w:sz w:val="24"/>
          <w:szCs w:val="21"/>
        </w:rPr>
        <w:t>投标单位需提供重庆本地现场开发服务，专业项目实施经验。具备良好实施项目能力。</w:t>
      </w:r>
    </w:p>
    <w:p>
      <w:pPr>
        <w:numPr>
          <w:ilvl w:val="0"/>
          <w:numId w:val="3"/>
        </w:numPr>
        <w:spacing w:line="360" w:lineRule="auto"/>
        <w:ind w:left="0" w:firstLine="480" w:firstLineChars="200"/>
        <w:rPr>
          <w:rFonts w:ascii="宋体" w:hAnsi="宋体"/>
          <w:sz w:val="24"/>
        </w:rPr>
      </w:pPr>
      <w:r>
        <w:rPr>
          <w:rFonts w:hint="eastAsia" w:ascii="宋体" w:hAnsi="宋体"/>
          <w:sz w:val="24"/>
          <w:szCs w:val="24"/>
        </w:rPr>
        <w:t>法律、行政法规规定的其他条件。</w:t>
      </w:r>
    </w:p>
    <w:p>
      <w:pPr>
        <w:numPr>
          <w:ilvl w:val="0"/>
          <w:numId w:val="2"/>
        </w:numPr>
        <w:spacing w:line="360" w:lineRule="auto"/>
        <w:ind w:left="0" w:firstLine="480" w:firstLineChars="200"/>
        <w:rPr>
          <w:rFonts w:ascii="宋体" w:hAnsi="宋体"/>
          <w:b/>
          <w:bCs/>
          <w:sz w:val="24"/>
        </w:rPr>
      </w:pPr>
      <w:r>
        <w:rPr>
          <w:rFonts w:hint="eastAsia" w:cs="方正黑体_GBK" w:asciiTheme="minorEastAsia" w:hAnsiTheme="minorEastAsia" w:eastAsiaTheme="minorEastAsia"/>
          <w:snapToGrid w:val="0"/>
          <w:color w:val="000000"/>
          <w:kern w:val="0"/>
          <w:sz w:val="24"/>
          <w:szCs w:val="24"/>
        </w:rPr>
        <w:t>参选文件的递交</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（一）参选文件递交的截止时间为2019年11月26日17时00分，递交地点为农投良品公司（详细地址、通讯方式见下方内容）。</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（二）逾期送达的或者未送达指定地点的参选文件，农投良品公司不予受理。</w:t>
      </w:r>
    </w:p>
    <w:p>
      <w:pPr>
        <w:numPr>
          <w:ilvl w:val="0"/>
          <w:numId w:val="2"/>
        </w:numPr>
        <w:spacing w:line="360" w:lineRule="auto"/>
        <w:ind w:left="0" w:firstLine="480" w:firstLineChars="200"/>
        <w:rPr>
          <w:rFonts w:ascii="宋体" w:hAnsi="宋体"/>
          <w:b/>
          <w:bCs/>
          <w:sz w:val="24"/>
        </w:rPr>
      </w:pPr>
      <w:r>
        <w:rPr>
          <w:rFonts w:hint="eastAsia" w:cs="方正黑体_GBK" w:asciiTheme="minorEastAsia" w:hAnsiTheme="minorEastAsia" w:eastAsiaTheme="minorEastAsia"/>
          <w:snapToGrid w:val="0"/>
          <w:color w:val="000000"/>
          <w:kern w:val="0"/>
          <w:sz w:val="24"/>
          <w:szCs w:val="24"/>
        </w:rPr>
        <w:t>重庆农投良品有限公司对本邀请函所涉内容具有最终解释权。</w:t>
      </w:r>
    </w:p>
    <w:p>
      <w:pPr>
        <w:numPr>
          <w:ilvl w:val="0"/>
          <w:numId w:val="2"/>
        </w:numPr>
        <w:spacing w:line="360" w:lineRule="auto"/>
        <w:ind w:left="0" w:firstLine="482" w:firstLineChars="200"/>
        <w:rPr>
          <w:rFonts w:ascii="宋体" w:hAnsi="宋体"/>
          <w:b/>
          <w:bCs/>
          <w:sz w:val="24"/>
        </w:rPr>
      </w:pPr>
      <w:r>
        <w:rPr>
          <w:rFonts w:hint="eastAsia" w:ascii="宋体" w:hAnsi="宋体"/>
          <w:b/>
          <w:bCs/>
          <w:sz w:val="24"/>
        </w:rPr>
        <w:t>特定条款</w:t>
      </w:r>
    </w:p>
    <w:p>
      <w:pPr>
        <w:pStyle w:val="32"/>
        <w:numPr>
          <w:ilvl w:val="0"/>
          <w:numId w:val="4"/>
        </w:numPr>
        <w:topLinePunct/>
        <w:spacing w:line="560" w:lineRule="exact"/>
        <w:ind w:right="-573" w:rightChars="-273" w:firstLineChars="0"/>
        <w:rPr>
          <w:rFonts w:cs="方正仿宋_GBK" w:asciiTheme="minorEastAsia" w:hAnsiTheme="minorEastAsia"/>
          <w:color w:val="000000"/>
          <w:sz w:val="24"/>
          <w:szCs w:val="24"/>
        </w:rPr>
      </w:pPr>
      <w:r>
        <w:rPr>
          <w:rFonts w:hint="eastAsia" w:cs="方正仿宋_GBK" w:asciiTheme="minorEastAsia" w:hAnsiTheme="minorEastAsia"/>
          <w:color w:val="000000"/>
          <w:sz w:val="24"/>
          <w:szCs w:val="24"/>
        </w:rPr>
        <w:t>参选单位不得将本项目比选内容以任何方式进行围标、转包，本项目</w:t>
      </w:r>
      <w:r>
        <w:rPr>
          <w:rFonts w:hint="eastAsia" w:cs="方正仿宋_GBK" w:asciiTheme="minorEastAsia" w:hAnsiTheme="minorEastAsia"/>
          <w:sz w:val="24"/>
          <w:szCs w:val="24"/>
        </w:rPr>
        <w:t>不接受联合</w:t>
      </w:r>
      <w:r>
        <w:rPr>
          <w:rFonts w:hint="eastAsia" w:cs="方正仿宋_GBK" w:asciiTheme="minorEastAsia" w:hAnsiTheme="minorEastAsia"/>
          <w:color w:val="000000"/>
          <w:sz w:val="24"/>
          <w:szCs w:val="24"/>
        </w:rPr>
        <w:t>体参选。</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color w:val="000000"/>
          <w:sz w:val="24"/>
          <w:szCs w:val="24"/>
        </w:rPr>
        <w:t>备注：参选单位负责人为同一人或存在控股、管理关系的不同单位，不得同时</w:t>
      </w:r>
      <w:r>
        <w:rPr>
          <w:rFonts w:hint="eastAsia" w:cs="方正仿宋_GBK" w:asciiTheme="minorEastAsia" w:hAnsiTheme="minorEastAsia"/>
          <w:snapToGrid w:val="0"/>
          <w:color w:val="000000"/>
          <w:kern w:val="0"/>
          <w:sz w:val="24"/>
          <w:szCs w:val="24"/>
        </w:rPr>
        <w:t>参选比选项目</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color w:val="000000"/>
          <w:sz w:val="24"/>
          <w:szCs w:val="24"/>
        </w:rPr>
        <w:t>2</w:t>
      </w:r>
      <w:r>
        <w:rPr>
          <w:rFonts w:cs="方正仿宋_GBK" w:asciiTheme="minorEastAsia" w:hAnsiTheme="minorEastAsia"/>
          <w:color w:val="000000"/>
          <w:sz w:val="24"/>
          <w:szCs w:val="24"/>
        </w:rPr>
        <w:t>.</w:t>
      </w:r>
      <w:r>
        <w:rPr>
          <w:rFonts w:hint="eastAsia" w:cs="方正仿宋_GBK" w:asciiTheme="minorEastAsia" w:hAnsiTheme="minorEastAsia"/>
          <w:color w:val="000000"/>
          <w:sz w:val="24"/>
          <w:szCs w:val="24"/>
        </w:rPr>
        <w:t>中选单</w:t>
      </w:r>
      <w:r>
        <w:rPr>
          <w:rFonts w:hint="eastAsia" w:cs="方正仿宋_GBK" w:asciiTheme="minorEastAsia" w:hAnsiTheme="minorEastAsia"/>
          <w:snapToGrid w:val="0"/>
          <w:color w:val="000000"/>
          <w:kern w:val="0"/>
          <w:sz w:val="24"/>
          <w:szCs w:val="24"/>
        </w:rPr>
        <w:t>位不得围标、转包。若中选单位出现围标、转包，农投良品公司有权终止合同，并保留进一步索赔的权力。</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cs="方正仿宋_GBK" w:asciiTheme="minorEastAsia" w:hAnsiTheme="minorEastAsia"/>
          <w:snapToGrid w:val="0"/>
          <w:color w:val="000000"/>
          <w:kern w:val="0"/>
          <w:sz w:val="24"/>
          <w:szCs w:val="24"/>
        </w:rPr>
        <w:t>3</w:t>
      </w:r>
      <w:r>
        <w:rPr>
          <w:rFonts w:hint="eastAsia" w:cs="方正仿宋_GBK" w:asciiTheme="minorEastAsia" w:hAnsiTheme="minorEastAsia"/>
          <w:snapToGrid w:val="0"/>
          <w:color w:val="000000"/>
          <w:kern w:val="0"/>
          <w:sz w:val="24"/>
          <w:szCs w:val="24"/>
        </w:rPr>
        <w:t>.参选单位递交参选材料即表示接受项目合作相关条款内容。</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cs="方正仿宋_GBK" w:asciiTheme="minorEastAsia" w:hAnsiTheme="minorEastAsia"/>
          <w:snapToGrid w:val="0"/>
          <w:color w:val="000000"/>
          <w:kern w:val="0"/>
          <w:sz w:val="24"/>
          <w:szCs w:val="24"/>
        </w:rPr>
        <w:t>4</w:t>
      </w:r>
      <w:r>
        <w:rPr>
          <w:rFonts w:hint="eastAsia" w:cs="方正仿宋_GBK" w:asciiTheme="minorEastAsia" w:hAnsiTheme="minorEastAsia"/>
          <w:snapToGrid w:val="0"/>
          <w:color w:val="000000"/>
          <w:kern w:val="0"/>
          <w:sz w:val="24"/>
          <w:szCs w:val="24"/>
        </w:rPr>
        <w:t>.</w:t>
      </w:r>
      <w:r>
        <w:rPr>
          <w:rFonts w:hint="eastAsia" w:cs="方正仿宋_GBK" w:asciiTheme="minorEastAsia" w:hAnsiTheme="minorEastAsia"/>
          <w:snapToGrid w:val="0"/>
          <w:color w:val="000000"/>
          <w:kern w:val="0"/>
          <w:sz w:val="24"/>
          <w:szCs w:val="24"/>
        </w:rPr>
        <w:tab/>
      </w:r>
      <w:r>
        <w:rPr>
          <w:rFonts w:hint="eastAsia" w:cs="方正仿宋_GBK" w:asciiTheme="minorEastAsia" w:hAnsiTheme="minorEastAsia"/>
          <w:snapToGrid w:val="0"/>
          <w:color w:val="000000"/>
          <w:kern w:val="0"/>
          <w:sz w:val="24"/>
          <w:szCs w:val="24"/>
        </w:rPr>
        <w:t>投标单位需提供重庆本地现场开发服务，专业项目实施经验。具备良好实施项目能力。</w:t>
      </w:r>
    </w:p>
    <w:p>
      <w:pPr>
        <w:spacing w:line="360" w:lineRule="auto"/>
        <w:ind w:left="482"/>
        <w:rPr>
          <w:rFonts w:ascii="宋体" w:hAnsi="宋体"/>
          <w:b/>
          <w:bCs/>
          <w:sz w:val="24"/>
        </w:rPr>
      </w:pPr>
    </w:p>
    <w:p>
      <w:pPr>
        <w:numPr>
          <w:ilvl w:val="0"/>
          <w:numId w:val="2"/>
        </w:numPr>
        <w:spacing w:line="360" w:lineRule="auto"/>
        <w:ind w:left="0" w:firstLine="482" w:firstLineChars="200"/>
        <w:rPr>
          <w:rFonts w:ascii="宋体" w:hAnsi="宋体"/>
          <w:b/>
          <w:bCs/>
          <w:sz w:val="24"/>
        </w:rPr>
      </w:pPr>
      <w:r>
        <w:rPr>
          <w:rFonts w:hint="eastAsia" w:ascii="宋体" w:hAnsi="宋体"/>
          <w:b/>
          <w:bCs/>
          <w:sz w:val="24"/>
        </w:rPr>
        <w:t>联系方式</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采购人：重庆农投良品有限公司</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地址：重庆市渝中区大坪英利国际壹号楼36-1</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联系人：郭静</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联系电话：15683859027</w:t>
      </w:r>
    </w:p>
    <w:p>
      <w:pPr>
        <w:pStyle w:val="32"/>
        <w:topLinePunct/>
        <w:spacing w:line="560" w:lineRule="exact"/>
        <w:ind w:left="420" w:right="-573" w:rightChars="-273" w:firstLine="0" w:firstLineChars="0"/>
        <w:rPr>
          <w:rFonts w:cs="方正仿宋_GBK" w:asciiTheme="minorEastAsia" w:hAnsiTheme="minorEastAsia"/>
          <w:snapToGrid w:val="0"/>
          <w:color w:val="000000"/>
          <w:kern w:val="0"/>
          <w:sz w:val="24"/>
          <w:szCs w:val="24"/>
        </w:rPr>
      </w:pPr>
      <w:r>
        <w:rPr>
          <w:rFonts w:hint="eastAsia" w:cs="方正仿宋_GBK" w:asciiTheme="minorEastAsia" w:hAnsiTheme="minorEastAsia"/>
          <w:snapToGrid w:val="0"/>
          <w:color w:val="000000"/>
          <w:kern w:val="0"/>
          <w:sz w:val="24"/>
          <w:szCs w:val="24"/>
        </w:rPr>
        <w:t>邮箱：</w:t>
      </w:r>
      <w:r>
        <w:fldChar w:fldCharType="begin"/>
      </w:r>
      <w:r>
        <w:instrText xml:space="preserve"> HYPERLINK "mailto:guosilent@126.com" </w:instrText>
      </w:r>
      <w:r>
        <w:fldChar w:fldCharType="separate"/>
      </w:r>
      <w:r>
        <w:rPr>
          <w:rStyle w:val="20"/>
          <w:rFonts w:hint="eastAsia" w:cs="方正仿宋_GBK" w:asciiTheme="minorEastAsia" w:hAnsiTheme="minorEastAsia"/>
          <w:snapToGrid w:val="0"/>
          <w:kern w:val="0"/>
          <w:sz w:val="24"/>
          <w:szCs w:val="24"/>
        </w:rPr>
        <w:t>guosilent@126.com</w:t>
      </w:r>
      <w:r>
        <w:rPr>
          <w:rStyle w:val="20"/>
          <w:rFonts w:hint="eastAsia" w:cs="方正仿宋_GBK" w:asciiTheme="minorEastAsia" w:hAnsiTheme="minorEastAsia"/>
          <w:snapToGrid w:val="0"/>
          <w:kern w:val="0"/>
          <w:sz w:val="24"/>
          <w:szCs w:val="24"/>
        </w:rPr>
        <w:fldChar w:fldCharType="end"/>
      </w:r>
      <w:r>
        <w:rPr>
          <w:rFonts w:hint="eastAsia" w:cs="方正仿宋_GBK" w:asciiTheme="minorEastAsia" w:hAnsiTheme="minorEastAsia"/>
          <w:snapToGrid w:val="0"/>
          <w:color w:val="000000"/>
          <w:kern w:val="0"/>
          <w:sz w:val="24"/>
          <w:szCs w:val="24"/>
        </w:rPr>
        <w:t xml:space="preserve"> </w:t>
      </w:r>
    </w:p>
    <w:p>
      <w:pPr>
        <w:spacing w:line="360" w:lineRule="auto"/>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numPr>
          <w:ilvl w:val="0"/>
          <w:numId w:val="1"/>
        </w:numPr>
        <w:jc w:val="center"/>
        <w:outlineLvl w:val="0"/>
        <w:rPr>
          <w:rFonts w:ascii="宋体" w:hAnsi="宋体"/>
          <w:b/>
          <w:sz w:val="32"/>
          <w:szCs w:val="32"/>
        </w:rPr>
      </w:pPr>
      <w:bookmarkStart w:id="6" w:name="_Toc22565947"/>
      <w:bookmarkStart w:id="7" w:name="_Toc6123"/>
      <w:bookmarkStart w:id="8" w:name="_Toc22122853"/>
      <w:bookmarkStart w:id="9" w:name="_Toc25319"/>
      <w:bookmarkStart w:id="10" w:name="_Toc21018"/>
      <w:bookmarkStart w:id="11" w:name="_Toc19503"/>
      <w:r>
        <w:rPr>
          <w:rFonts w:hint="eastAsia" w:ascii="宋体" w:hAnsi="宋体"/>
          <w:b/>
          <w:sz w:val="32"/>
          <w:szCs w:val="32"/>
        </w:rPr>
        <w:t>比选须知</w:t>
      </w:r>
      <w:bookmarkEnd w:id="6"/>
      <w:bookmarkEnd w:id="7"/>
      <w:bookmarkEnd w:id="8"/>
      <w:bookmarkEnd w:id="9"/>
      <w:bookmarkEnd w:id="10"/>
      <w:bookmarkEnd w:id="11"/>
    </w:p>
    <w:tbl>
      <w:tblPr>
        <w:tblStyle w:val="22"/>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798"/>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b/>
                <w:bCs/>
              </w:rPr>
            </w:pPr>
            <w:r>
              <w:rPr>
                <w:rFonts w:hint="eastAsia" w:ascii="宋体" w:hAnsi="宋体"/>
                <w:b/>
                <w:bCs/>
              </w:rPr>
              <w:t>序号</w:t>
            </w:r>
          </w:p>
        </w:tc>
        <w:tc>
          <w:tcPr>
            <w:tcW w:w="3798" w:type="dxa"/>
            <w:vAlign w:val="center"/>
          </w:tcPr>
          <w:p>
            <w:pPr>
              <w:spacing w:line="420" w:lineRule="exact"/>
              <w:jc w:val="center"/>
              <w:rPr>
                <w:rFonts w:ascii="宋体" w:hAnsi="宋体"/>
                <w:b/>
                <w:bCs/>
              </w:rPr>
            </w:pPr>
            <w:r>
              <w:rPr>
                <w:rFonts w:hint="eastAsia" w:ascii="宋体" w:hAnsi="宋体"/>
                <w:b/>
                <w:bCs/>
              </w:rPr>
              <w:t>条款名称</w:t>
            </w:r>
          </w:p>
        </w:tc>
        <w:tc>
          <w:tcPr>
            <w:tcW w:w="4348" w:type="dxa"/>
            <w:vAlign w:val="center"/>
          </w:tcPr>
          <w:p>
            <w:pPr>
              <w:spacing w:line="420" w:lineRule="exact"/>
              <w:ind w:firstLine="129" w:firstLineChars="61"/>
              <w:jc w:val="center"/>
              <w:rPr>
                <w:rFonts w:ascii="宋体" w:hAnsi="宋体"/>
                <w:b/>
                <w:bCs/>
              </w:rPr>
            </w:pPr>
            <w:r>
              <w:rPr>
                <w:rFonts w:hint="eastAsia" w:ascii="宋体" w:hAnsi="宋体"/>
                <w:b/>
                <w:bCs/>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w:t>
            </w:r>
          </w:p>
        </w:tc>
        <w:tc>
          <w:tcPr>
            <w:tcW w:w="3798" w:type="dxa"/>
            <w:vAlign w:val="center"/>
          </w:tcPr>
          <w:p>
            <w:pPr>
              <w:spacing w:line="420" w:lineRule="exact"/>
              <w:rPr>
                <w:rFonts w:ascii="宋体" w:hAnsi="宋体"/>
              </w:rPr>
            </w:pPr>
            <w:r>
              <w:rPr>
                <w:rFonts w:hint="eastAsia" w:ascii="宋体" w:hAnsi="宋体"/>
              </w:rPr>
              <w:t>招标人</w:t>
            </w:r>
          </w:p>
        </w:tc>
        <w:tc>
          <w:tcPr>
            <w:tcW w:w="4348" w:type="dxa"/>
            <w:vAlign w:val="center"/>
          </w:tcPr>
          <w:p>
            <w:pPr>
              <w:spacing w:line="320" w:lineRule="exact"/>
              <w:ind w:firstLine="128" w:firstLineChars="6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招标人名称：重庆农投良品有限公司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2</w:t>
            </w:r>
          </w:p>
        </w:tc>
        <w:tc>
          <w:tcPr>
            <w:tcW w:w="3798" w:type="dxa"/>
            <w:vAlign w:val="center"/>
          </w:tcPr>
          <w:p>
            <w:pPr>
              <w:spacing w:line="420" w:lineRule="exact"/>
              <w:rPr>
                <w:rFonts w:ascii="宋体" w:hAnsi="宋体"/>
              </w:rPr>
            </w:pPr>
            <w:r>
              <w:rPr>
                <w:rFonts w:hint="eastAsia" w:ascii="宋体" w:hAnsi="宋体"/>
              </w:rPr>
              <w:t>项目名称</w:t>
            </w:r>
          </w:p>
        </w:tc>
        <w:tc>
          <w:tcPr>
            <w:tcW w:w="4348" w:type="dxa"/>
            <w:vAlign w:val="center"/>
          </w:tcPr>
          <w:p>
            <w:pPr>
              <w:spacing w:line="320" w:lineRule="exact"/>
              <w:ind w:firstLine="146" w:firstLineChars="61"/>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农投良品</w:t>
            </w:r>
            <w:r>
              <w:rPr>
                <w:rFonts w:hint="eastAsia" w:ascii="宋体" w:hAnsi="宋体" w:cs="宋体"/>
                <w:color w:val="000000" w:themeColor="text1"/>
                <w:kern w:val="0"/>
                <w:sz w:val="24"/>
                <w14:textFill>
                  <w14:solidFill>
                    <w14:schemeClr w14:val="tx1"/>
                  </w14:solidFill>
                </w14:textFill>
              </w:rPr>
              <w:t>信息化管理平台项目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3</w:t>
            </w:r>
          </w:p>
        </w:tc>
        <w:tc>
          <w:tcPr>
            <w:tcW w:w="3798" w:type="dxa"/>
            <w:vAlign w:val="center"/>
          </w:tcPr>
          <w:p>
            <w:pPr>
              <w:spacing w:line="420" w:lineRule="exact"/>
              <w:rPr>
                <w:rFonts w:ascii="宋体" w:hAnsi="宋体"/>
              </w:rPr>
            </w:pPr>
            <w:r>
              <w:rPr>
                <w:rFonts w:hint="eastAsia" w:ascii="宋体" w:hAnsi="宋体"/>
              </w:rPr>
              <w:t>招标文件编号</w:t>
            </w:r>
          </w:p>
        </w:tc>
        <w:tc>
          <w:tcPr>
            <w:tcW w:w="4348" w:type="dxa"/>
            <w:vAlign w:val="center"/>
          </w:tcPr>
          <w:p>
            <w:pPr>
              <w:spacing w:line="320" w:lineRule="exact"/>
              <w:ind w:firstLine="128" w:firstLineChars="61"/>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4</w:t>
            </w:r>
          </w:p>
        </w:tc>
        <w:tc>
          <w:tcPr>
            <w:tcW w:w="3798" w:type="dxa"/>
            <w:vAlign w:val="center"/>
          </w:tcPr>
          <w:p>
            <w:pPr>
              <w:spacing w:line="420" w:lineRule="exact"/>
              <w:rPr>
                <w:rFonts w:ascii="宋体" w:hAnsi="宋体"/>
              </w:rPr>
            </w:pPr>
            <w:r>
              <w:rPr>
                <w:rFonts w:hint="eastAsia" w:ascii="宋体" w:hAnsi="宋体"/>
              </w:rPr>
              <w:t>投标有效期</w:t>
            </w:r>
          </w:p>
        </w:tc>
        <w:tc>
          <w:tcPr>
            <w:tcW w:w="4348" w:type="dxa"/>
            <w:vAlign w:val="center"/>
          </w:tcPr>
          <w:p>
            <w:pPr>
              <w:spacing w:line="320" w:lineRule="exact"/>
              <w:ind w:firstLine="128" w:firstLineChars="61"/>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5</w:t>
            </w:r>
          </w:p>
        </w:tc>
        <w:tc>
          <w:tcPr>
            <w:tcW w:w="3798" w:type="dxa"/>
            <w:vAlign w:val="center"/>
          </w:tcPr>
          <w:p>
            <w:pPr>
              <w:rPr>
                <w:rFonts w:ascii="宋体" w:hAnsi="宋体"/>
              </w:rPr>
            </w:pPr>
            <w:r>
              <w:rPr>
                <w:rFonts w:hint="eastAsia" w:ascii="宋体" w:hAnsi="宋体"/>
              </w:rPr>
              <w:t>是否退还投标文件</w:t>
            </w:r>
          </w:p>
        </w:tc>
        <w:tc>
          <w:tcPr>
            <w:tcW w:w="4348" w:type="dxa"/>
            <w:vAlign w:val="center"/>
          </w:tcPr>
          <w:p>
            <w:pPr>
              <w:ind w:firstLine="128" w:firstLineChars="61"/>
              <w:rPr>
                <w:rFonts w:ascii="宋体" w:hAnsi="宋体"/>
                <w:u w:val="single"/>
              </w:rPr>
            </w:pPr>
            <w:r>
              <w:rPr>
                <w:rFonts w:hint="eastAsia" w:ascii="宋体" w:hAnsi="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6</w:t>
            </w:r>
          </w:p>
        </w:tc>
        <w:tc>
          <w:tcPr>
            <w:tcW w:w="3798" w:type="dxa"/>
            <w:vAlign w:val="center"/>
          </w:tcPr>
          <w:p>
            <w:pPr>
              <w:spacing w:line="420" w:lineRule="exact"/>
              <w:rPr>
                <w:rFonts w:ascii="宋体" w:hAnsi="宋体"/>
              </w:rPr>
            </w:pPr>
            <w:r>
              <w:rPr>
                <w:rFonts w:hint="eastAsia" w:ascii="宋体" w:hAnsi="宋体"/>
              </w:rPr>
              <w:t>招标方式</w:t>
            </w:r>
          </w:p>
        </w:tc>
        <w:tc>
          <w:tcPr>
            <w:tcW w:w="4348" w:type="dxa"/>
            <w:vAlign w:val="center"/>
          </w:tcPr>
          <w:p>
            <w:pPr>
              <w:ind w:firstLine="128" w:firstLineChars="61"/>
              <w:rPr>
                <w:rFonts w:ascii="宋体" w:hAnsi="宋体"/>
              </w:rPr>
            </w:pPr>
            <w:r>
              <w:rPr>
                <w:rFonts w:hint="eastAsia" w:ascii="宋体" w:hAnsi="宋体"/>
              </w:rPr>
              <w:t>国内公开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7</w:t>
            </w:r>
          </w:p>
        </w:tc>
        <w:tc>
          <w:tcPr>
            <w:tcW w:w="3798" w:type="dxa"/>
            <w:vAlign w:val="center"/>
          </w:tcPr>
          <w:p>
            <w:pPr>
              <w:spacing w:line="420" w:lineRule="exact"/>
              <w:rPr>
                <w:rFonts w:ascii="宋体" w:hAnsi="宋体"/>
              </w:rPr>
            </w:pPr>
            <w:r>
              <w:rPr>
                <w:rFonts w:hint="eastAsia" w:ascii="宋体" w:hAnsi="宋体"/>
              </w:rPr>
              <w:t>投标人资格要求</w:t>
            </w:r>
          </w:p>
        </w:tc>
        <w:tc>
          <w:tcPr>
            <w:tcW w:w="4348" w:type="dxa"/>
            <w:vAlign w:val="center"/>
          </w:tcPr>
          <w:p>
            <w:pPr>
              <w:ind w:firstLine="128" w:firstLineChars="61"/>
              <w:rPr>
                <w:rFonts w:ascii="宋体" w:hAnsi="宋体"/>
              </w:rPr>
            </w:pPr>
            <w:r>
              <w:rPr>
                <w:rFonts w:hint="eastAsia" w:ascii="宋体" w:hAnsi="宋体"/>
              </w:rPr>
              <w:t>资格合格条件标准（详见第四章）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8</w:t>
            </w:r>
          </w:p>
        </w:tc>
        <w:tc>
          <w:tcPr>
            <w:tcW w:w="3798" w:type="dxa"/>
            <w:vAlign w:val="center"/>
          </w:tcPr>
          <w:p>
            <w:pPr>
              <w:spacing w:line="420" w:lineRule="exact"/>
              <w:rPr>
                <w:rFonts w:ascii="宋体" w:hAnsi="宋体"/>
              </w:rPr>
            </w:pPr>
            <w:r>
              <w:rPr>
                <w:rFonts w:hint="eastAsia" w:ascii="宋体" w:hAnsi="宋体"/>
              </w:rPr>
              <w:t>评审内容</w:t>
            </w:r>
          </w:p>
        </w:tc>
        <w:tc>
          <w:tcPr>
            <w:tcW w:w="4348" w:type="dxa"/>
            <w:vAlign w:val="center"/>
          </w:tcPr>
          <w:p>
            <w:pPr>
              <w:spacing w:line="420" w:lineRule="exact"/>
              <w:ind w:firstLine="128" w:firstLineChars="61"/>
              <w:rPr>
                <w:rFonts w:ascii="宋体" w:hAnsi="宋体"/>
              </w:rPr>
            </w:pPr>
            <w:r>
              <w:rPr>
                <w:rFonts w:hint="eastAsia" w:ascii="宋体" w:hAnsi="宋体"/>
              </w:rPr>
              <w:t>投标文件及实施方案讲解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9</w:t>
            </w:r>
          </w:p>
        </w:tc>
        <w:tc>
          <w:tcPr>
            <w:tcW w:w="3798" w:type="dxa"/>
            <w:vAlign w:val="center"/>
          </w:tcPr>
          <w:p>
            <w:pPr>
              <w:spacing w:line="420" w:lineRule="exact"/>
              <w:rPr>
                <w:rFonts w:ascii="宋体" w:hAnsi="宋体"/>
              </w:rPr>
            </w:pPr>
            <w:r>
              <w:rPr>
                <w:rFonts w:hint="eastAsia" w:ascii="宋体" w:hAnsi="宋体"/>
              </w:rPr>
              <w:t>递交投标文件份数</w:t>
            </w:r>
          </w:p>
        </w:tc>
        <w:tc>
          <w:tcPr>
            <w:tcW w:w="4348" w:type="dxa"/>
            <w:vAlign w:val="center"/>
          </w:tcPr>
          <w:p>
            <w:pPr>
              <w:spacing w:line="420" w:lineRule="exact"/>
              <w:ind w:firstLine="128" w:firstLineChars="61"/>
              <w:rPr>
                <w:rFonts w:ascii="宋体" w:hAnsi="宋体"/>
                <w:b/>
              </w:rPr>
            </w:pPr>
            <w:r>
              <w:rPr>
                <w:rFonts w:hint="eastAsia" w:ascii="宋体" w:hAnsi="宋体"/>
                <w:bCs/>
              </w:rPr>
              <w:t>投标文件一式</w:t>
            </w:r>
            <w:r>
              <w:rPr>
                <w:rFonts w:ascii="宋体" w:hAnsi="宋体"/>
                <w:bCs/>
              </w:rPr>
              <w:t>3</w:t>
            </w:r>
            <w:r>
              <w:rPr>
                <w:rFonts w:hint="eastAsia" w:ascii="宋体" w:hAnsi="宋体"/>
                <w:bCs/>
              </w:rPr>
              <w:t>份，正本</w:t>
            </w:r>
            <w:r>
              <w:rPr>
                <w:rFonts w:ascii="宋体" w:hAnsi="宋体"/>
                <w:bCs/>
              </w:rPr>
              <w:t>1</w:t>
            </w:r>
            <w:r>
              <w:rPr>
                <w:rFonts w:hint="eastAsia" w:ascii="宋体" w:hAnsi="宋体"/>
                <w:bCs/>
              </w:rPr>
              <w:t>份，副本</w:t>
            </w:r>
            <w:r>
              <w:rPr>
                <w:rFonts w:ascii="宋体" w:hAnsi="宋体"/>
                <w:bCs/>
              </w:rPr>
              <w:t>2</w:t>
            </w:r>
            <w:r>
              <w:rPr>
                <w:rFonts w:hint="eastAsia" w:ascii="宋体" w:hAnsi="宋体"/>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10</w:t>
            </w:r>
          </w:p>
        </w:tc>
        <w:tc>
          <w:tcPr>
            <w:tcW w:w="3798" w:type="dxa"/>
            <w:vAlign w:val="center"/>
          </w:tcPr>
          <w:p>
            <w:pPr>
              <w:spacing w:line="420" w:lineRule="exact"/>
              <w:rPr>
                <w:rFonts w:ascii="宋体" w:hAnsi="宋体"/>
              </w:rPr>
            </w:pPr>
            <w:r>
              <w:rPr>
                <w:rFonts w:hint="eastAsia" w:ascii="宋体" w:hAnsi="宋体"/>
              </w:rPr>
              <w:t>投标文件具体内容要求</w:t>
            </w:r>
          </w:p>
        </w:tc>
        <w:tc>
          <w:tcPr>
            <w:tcW w:w="4348" w:type="dxa"/>
            <w:vAlign w:val="center"/>
          </w:tcPr>
          <w:p>
            <w:pPr>
              <w:spacing w:line="420" w:lineRule="exact"/>
              <w:ind w:firstLine="128" w:firstLineChars="61"/>
              <w:rPr>
                <w:rFonts w:ascii="宋体" w:hAnsi="宋体"/>
                <w:b/>
              </w:rPr>
            </w:pPr>
            <w:r>
              <w:rPr>
                <w:rFonts w:hint="eastAsia" w:ascii="宋体" w:hAnsi="宋体"/>
                <w:bCs/>
              </w:rPr>
              <w:t>见标书第一章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11</w:t>
            </w:r>
          </w:p>
        </w:tc>
        <w:tc>
          <w:tcPr>
            <w:tcW w:w="3798" w:type="dxa"/>
            <w:vAlign w:val="center"/>
          </w:tcPr>
          <w:p>
            <w:pPr>
              <w:spacing w:line="420" w:lineRule="exact"/>
              <w:rPr>
                <w:rFonts w:ascii="宋体" w:hAnsi="宋体"/>
              </w:rPr>
            </w:pPr>
            <w:r>
              <w:rPr>
                <w:rFonts w:hint="eastAsia" w:ascii="宋体" w:hAnsi="宋体"/>
              </w:rPr>
              <w:t>开标时间</w:t>
            </w:r>
          </w:p>
        </w:tc>
        <w:tc>
          <w:tcPr>
            <w:tcW w:w="4348" w:type="dxa"/>
            <w:vAlign w:val="center"/>
          </w:tcPr>
          <w:p>
            <w:pPr>
              <w:spacing w:line="420" w:lineRule="exact"/>
              <w:ind w:firstLine="128" w:firstLineChars="61"/>
              <w:rPr>
                <w:rFonts w:ascii="宋体" w:hAnsi="宋体"/>
              </w:rPr>
            </w:pPr>
            <w:r>
              <w:rPr>
                <w:rFonts w:hint="eastAsia" w:ascii="宋体" w:hAnsi="宋体"/>
              </w:rPr>
              <w:t>2</w:t>
            </w:r>
            <w:r>
              <w:rPr>
                <w:rFonts w:ascii="宋体" w:hAnsi="宋体"/>
              </w:rPr>
              <w:t>019</w:t>
            </w:r>
            <w:r>
              <w:rPr>
                <w:rFonts w:hint="eastAsia" w:ascii="宋体" w:hAnsi="宋体"/>
              </w:rPr>
              <w:t>年11月29日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12</w:t>
            </w:r>
          </w:p>
        </w:tc>
        <w:tc>
          <w:tcPr>
            <w:tcW w:w="3798" w:type="dxa"/>
            <w:vAlign w:val="center"/>
          </w:tcPr>
          <w:p>
            <w:pPr>
              <w:spacing w:line="420" w:lineRule="exact"/>
              <w:rPr>
                <w:rFonts w:ascii="宋体" w:hAnsi="宋体"/>
              </w:rPr>
            </w:pPr>
            <w:r>
              <w:rPr>
                <w:rFonts w:hint="eastAsia" w:ascii="宋体" w:hAnsi="宋体"/>
              </w:rPr>
              <w:t>是否允许递交备选投标方案</w:t>
            </w:r>
          </w:p>
        </w:tc>
        <w:tc>
          <w:tcPr>
            <w:tcW w:w="4348" w:type="dxa"/>
            <w:vAlign w:val="center"/>
          </w:tcPr>
          <w:p>
            <w:pPr>
              <w:spacing w:line="320" w:lineRule="exact"/>
              <w:ind w:firstLine="128" w:firstLineChars="61"/>
              <w:rPr>
                <w:rFonts w:ascii="宋体" w:hAnsi="宋体"/>
              </w:rPr>
            </w:pPr>
            <w:r>
              <w:rPr>
                <w:rFonts w:hint="eastAsia" w:ascii="宋体" w:hAnsi="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13</w:t>
            </w:r>
          </w:p>
        </w:tc>
        <w:tc>
          <w:tcPr>
            <w:tcW w:w="3798" w:type="dxa"/>
            <w:vAlign w:val="center"/>
          </w:tcPr>
          <w:p>
            <w:pPr>
              <w:spacing w:line="420" w:lineRule="exact"/>
              <w:rPr>
                <w:rFonts w:ascii="宋体" w:hAnsi="宋体"/>
              </w:rPr>
            </w:pPr>
            <w:r>
              <w:rPr>
                <w:rFonts w:hint="eastAsia" w:ascii="宋体" w:hAnsi="宋体"/>
              </w:rPr>
              <w:t>投标委托人及技术人员参加开标会要求</w:t>
            </w:r>
          </w:p>
        </w:tc>
        <w:tc>
          <w:tcPr>
            <w:tcW w:w="4348" w:type="dxa"/>
            <w:vAlign w:val="center"/>
          </w:tcPr>
          <w:p>
            <w:pPr>
              <w:spacing w:line="320" w:lineRule="exact"/>
              <w:ind w:firstLine="128" w:firstLineChars="61"/>
              <w:rPr>
                <w:rFonts w:ascii="宋体" w:hAnsi="宋体"/>
              </w:rPr>
            </w:pPr>
            <w:r>
              <w:rPr>
                <w:rFonts w:hint="eastAsia" w:ascii="宋体" w:hAnsi="宋体"/>
              </w:rPr>
              <w:t>项目委托人必须到场，接受评标委员会的技术询标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94" w:type="dxa"/>
            <w:vAlign w:val="center"/>
          </w:tcPr>
          <w:p>
            <w:pPr>
              <w:spacing w:line="420" w:lineRule="exact"/>
              <w:jc w:val="center"/>
              <w:rPr>
                <w:rFonts w:ascii="宋体" w:hAnsi="宋体"/>
              </w:rPr>
            </w:pPr>
            <w:r>
              <w:rPr>
                <w:rFonts w:hint="eastAsia" w:ascii="宋体" w:hAnsi="宋体"/>
              </w:rPr>
              <w:t>14</w:t>
            </w:r>
          </w:p>
        </w:tc>
        <w:tc>
          <w:tcPr>
            <w:tcW w:w="3798" w:type="dxa"/>
            <w:vAlign w:val="center"/>
          </w:tcPr>
          <w:p>
            <w:pPr>
              <w:spacing w:line="420" w:lineRule="exact"/>
              <w:rPr>
                <w:rFonts w:ascii="宋体" w:hAnsi="宋体"/>
              </w:rPr>
            </w:pPr>
            <w:r>
              <w:rPr>
                <w:rFonts w:hint="eastAsia" w:ascii="宋体" w:hAnsi="宋体"/>
              </w:rPr>
              <w:t>投标方法及标准</w:t>
            </w:r>
          </w:p>
        </w:tc>
        <w:tc>
          <w:tcPr>
            <w:tcW w:w="4348" w:type="dxa"/>
            <w:vAlign w:val="center"/>
          </w:tcPr>
          <w:p>
            <w:pPr>
              <w:spacing w:line="320" w:lineRule="exact"/>
              <w:rPr>
                <w:rFonts w:ascii="宋体" w:hAnsi="宋体"/>
                <w:b/>
                <w:bCs/>
                <w:u w:val="single"/>
              </w:rPr>
            </w:pPr>
            <w:r>
              <w:rPr>
                <w:rFonts w:hint="eastAsia" w:ascii="宋体" w:hAnsi="宋体" w:cs="宋体"/>
                <w:kern w:val="0"/>
                <w:szCs w:val="21"/>
              </w:rPr>
              <w:t>按照招标人确定的需求文档投标，进行商务报价。综合评比后确定中标。</w:t>
            </w:r>
          </w:p>
        </w:tc>
      </w:tr>
    </w:tbl>
    <w:p>
      <w:pPr>
        <w:ind w:firstLine="643" w:firstLineChars="200"/>
        <w:jc w:val="left"/>
        <w:rPr>
          <w:rFonts w:ascii="宋体" w:hAnsi="宋体"/>
          <w:b/>
          <w:sz w:val="32"/>
          <w:szCs w:val="32"/>
        </w:rPr>
      </w:pPr>
    </w:p>
    <w:p>
      <w:pPr>
        <w:ind w:firstLine="643" w:firstLineChars="200"/>
        <w:jc w:val="left"/>
        <w:rPr>
          <w:rFonts w:ascii="宋体" w:hAnsi="宋体"/>
          <w:b/>
          <w:sz w:val="32"/>
          <w:szCs w:val="32"/>
        </w:rPr>
      </w:pPr>
    </w:p>
    <w:p>
      <w:pPr>
        <w:ind w:firstLine="643" w:firstLineChars="200"/>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numPr>
          <w:ilvl w:val="0"/>
          <w:numId w:val="1"/>
        </w:numPr>
        <w:ind w:firstLine="643" w:firstLineChars="200"/>
        <w:jc w:val="center"/>
        <w:outlineLvl w:val="0"/>
        <w:rPr>
          <w:rFonts w:ascii="宋体" w:hAnsi="宋体"/>
          <w:b/>
          <w:sz w:val="32"/>
          <w:szCs w:val="32"/>
        </w:rPr>
      </w:pPr>
      <w:bookmarkStart w:id="12" w:name="_Toc10253"/>
      <w:bookmarkStart w:id="13" w:name="_Toc22122854"/>
      <w:bookmarkStart w:id="14" w:name="_Toc6825"/>
      <w:bookmarkStart w:id="15" w:name="_Toc11107"/>
      <w:bookmarkStart w:id="16" w:name="_Toc22565948"/>
      <w:r>
        <w:rPr>
          <w:rFonts w:hint="eastAsia" w:ascii="宋体" w:hAnsi="宋体"/>
          <w:b/>
          <w:sz w:val="32"/>
          <w:szCs w:val="32"/>
        </w:rPr>
        <w:t>比选文件</w:t>
      </w:r>
      <w:bookmarkEnd w:id="12"/>
      <w:bookmarkEnd w:id="13"/>
      <w:bookmarkEnd w:id="14"/>
      <w:bookmarkEnd w:id="15"/>
      <w:r>
        <w:rPr>
          <w:rFonts w:hint="eastAsia" w:ascii="宋体" w:hAnsi="宋体"/>
          <w:b/>
          <w:sz w:val="32"/>
          <w:szCs w:val="32"/>
        </w:rPr>
        <w:t>要求</w:t>
      </w:r>
      <w:bookmarkEnd w:id="16"/>
    </w:p>
    <w:p>
      <w:pPr>
        <w:numPr>
          <w:ilvl w:val="0"/>
          <w:numId w:val="5"/>
        </w:numPr>
        <w:spacing w:line="360" w:lineRule="auto"/>
        <w:ind w:firstLine="482" w:firstLineChars="200"/>
        <w:rPr>
          <w:rFonts w:ascii="宋体" w:hAnsi="宋体"/>
          <w:b/>
          <w:bCs/>
          <w:sz w:val="24"/>
        </w:rPr>
      </w:pPr>
      <w:r>
        <w:rPr>
          <w:rFonts w:hint="eastAsia" w:ascii="宋体" w:hAnsi="宋体"/>
          <w:b/>
          <w:bCs/>
          <w:sz w:val="24"/>
        </w:rPr>
        <w:t>比选方式</w:t>
      </w:r>
    </w:p>
    <w:p>
      <w:pPr>
        <w:spacing w:line="360" w:lineRule="auto"/>
        <w:ind w:firstLine="480" w:firstLineChars="200"/>
        <w:rPr>
          <w:rFonts w:ascii="宋体" w:hAnsi="宋体"/>
          <w:sz w:val="24"/>
          <w:szCs w:val="24"/>
        </w:rPr>
      </w:pPr>
      <w:r>
        <w:rPr>
          <w:rFonts w:hint="eastAsia" w:ascii="宋体" w:hAnsi="宋体"/>
          <w:sz w:val="24"/>
          <w:szCs w:val="24"/>
        </w:rPr>
        <w:t>报名单位组织人员制作比选文件。比选文件可以分纸质投标文件和系统建设方案幻灯片展示两部分。</w:t>
      </w:r>
    </w:p>
    <w:p>
      <w:pPr>
        <w:numPr>
          <w:ilvl w:val="0"/>
          <w:numId w:val="5"/>
        </w:numPr>
        <w:spacing w:line="360" w:lineRule="auto"/>
        <w:ind w:firstLine="482" w:firstLineChars="200"/>
        <w:rPr>
          <w:rFonts w:ascii="宋体" w:hAnsi="宋体"/>
          <w:b/>
          <w:bCs/>
          <w:sz w:val="24"/>
        </w:rPr>
      </w:pPr>
      <w:r>
        <w:rPr>
          <w:rFonts w:hint="eastAsia" w:ascii="宋体" w:hAnsi="宋体"/>
          <w:b/>
          <w:bCs/>
          <w:sz w:val="24"/>
        </w:rPr>
        <w:t>投标文件的组成</w:t>
      </w:r>
    </w:p>
    <w:p>
      <w:pPr>
        <w:spacing w:line="360" w:lineRule="auto"/>
        <w:ind w:left="420" w:leftChars="200" w:firstLine="480" w:firstLineChars="200"/>
        <w:rPr>
          <w:rFonts w:ascii="宋体" w:hAnsi="华文细黑"/>
          <w:sz w:val="24"/>
        </w:rPr>
      </w:pPr>
      <w:r>
        <w:rPr>
          <w:rFonts w:hint="eastAsia" w:ascii="宋体" w:hAnsi="宋体"/>
          <w:sz w:val="24"/>
          <w:szCs w:val="24"/>
        </w:rPr>
        <w:t>投标文件</w:t>
      </w:r>
      <w:r>
        <w:rPr>
          <w:rFonts w:hint="eastAsia" w:ascii="宋体" w:hAnsi="华文细黑"/>
          <w:sz w:val="24"/>
        </w:rPr>
        <w:t>投标文件分为二册，</w:t>
      </w:r>
      <w:r>
        <w:rPr>
          <w:rFonts w:hint="eastAsia" w:ascii="宋体" w:hAnsi="宋体"/>
          <w:sz w:val="24"/>
          <w:szCs w:val="24"/>
        </w:rPr>
        <w:t>由技术文件和商务文件组成</w:t>
      </w:r>
      <w:r>
        <w:rPr>
          <w:rFonts w:hint="eastAsia" w:ascii="宋体" w:hAnsi="华文细黑"/>
          <w:sz w:val="24"/>
        </w:rPr>
        <w:t>（</w:t>
      </w:r>
      <w:r>
        <w:rPr>
          <w:rFonts w:hint="eastAsia" w:ascii="宋体" w:hAnsi="宋体"/>
          <w:sz w:val="24"/>
          <w:szCs w:val="24"/>
        </w:rPr>
        <w:t>二份文件</w:t>
      </w:r>
      <w:r>
        <w:rPr>
          <w:rFonts w:hint="eastAsia" w:ascii="宋体" w:hAnsi="华文细黑"/>
          <w:sz w:val="24"/>
        </w:rPr>
        <w:t>需分别装订</w:t>
      </w:r>
      <w:r>
        <w:rPr>
          <w:rFonts w:hint="eastAsia" w:ascii="宋体" w:hAnsi="宋体"/>
          <w:sz w:val="24"/>
          <w:szCs w:val="24"/>
        </w:rPr>
        <w:t>密封</w:t>
      </w:r>
      <w:r>
        <w:rPr>
          <w:rFonts w:hint="eastAsia" w:ascii="宋体" w:hAnsi="华文细黑"/>
          <w:sz w:val="24"/>
        </w:rPr>
        <w:t>），并由下列部分构成，应严格按照以下的顺序编制及装订：</w:t>
      </w:r>
    </w:p>
    <w:p>
      <w:pPr>
        <w:spacing w:line="360" w:lineRule="auto"/>
        <w:ind w:left="420" w:leftChars="200" w:firstLine="480" w:firstLineChars="200"/>
        <w:rPr>
          <w:rFonts w:ascii="宋体" w:hAnsi="宋体"/>
          <w:sz w:val="24"/>
          <w:szCs w:val="24"/>
        </w:rPr>
      </w:pPr>
      <w:r>
        <w:rPr>
          <w:rFonts w:hint="eastAsia" w:ascii="宋体" w:hAnsi="宋体"/>
          <w:sz w:val="24"/>
          <w:szCs w:val="24"/>
        </w:rPr>
        <w:t>1、第一册：技术文件</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投标函；</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提供基础软件名称与模块，连贯性流程管理。</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系统建设方案书；</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项目实施或开发进度表；</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售后服务及培训承诺；</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成功案例合同复印件；</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软件著作权（或原厂授权）及相关荣誉证书；</w:t>
      </w:r>
    </w:p>
    <w:p>
      <w:pPr>
        <w:numPr>
          <w:ilvl w:val="0"/>
          <w:numId w:val="6"/>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投标方认为需要提交的其他文件资料；</w:t>
      </w:r>
    </w:p>
    <w:p>
      <w:pPr>
        <w:spacing w:line="360" w:lineRule="auto"/>
        <w:ind w:left="480"/>
        <w:rPr>
          <w:rFonts w:ascii="宋体" w:hAnsi="宋体"/>
          <w:sz w:val="24"/>
          <w:szCs w:val="24"/>
        </w:rPr>
      </w:pPr>
    </w:p>
    <w:p>
      <w:pPr>
        <w:spacing w:line="360" w:lineRule="auto"/>
        <w:ind w:left="420" w:leftChars="200" w:firstLine="480" w:firstLineChars="200"/>
        <w:rPr>
          <w:rFonts w:ascii="宋体" w:hAnsi="宋体"/>
          <w:sz w:val="24"/>
          <w:szCs w:val="24"/>
        </w:rPr>
      </w:pPr>
      <w:r>
        <w:rPr>
          <w:rFonts w:hint="eastAsia" w:ascii="宋体" w:hAnsi="宋体"/>
          <w:sz w:val="24"/>
          <w:szCs w:val="24"/>
        </w:rPr>
        <w:t>2、第二册：商务文件</w:t>
      </w:r>
    </w:p>
    <w:p>
      <w:pPr>
        <w:numPr>
          <w:ilvl w:val="0"/>
          <w:numId w:val="7"/>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报价文件</w:t>
      </w:r>
    </w:p>
    <w:p>
      <w:pPr>
        <w:numPr>
          <w:ilvl w:val="0"/>
          <w:numId w:val="7"/>
        </w:numPr>
        <w:tabs>
          <w:tab w:val="left" w:pos="425"/>
        </w:tabs>
        <w:spacing w:line="360" w:lineRule="auto"/>
        <w:ind w:left="0" w:firstLine="480" w:firstLineChars="200"/>
        <w:rPr>
          <w:rFonts w:ascii="宋体" w:hAnsi="宋体"/>
          <w:sz w:val="24"/>
          <w:szCs w:val="24"/>
        </w:rPr>
      </w:pPr>
      <w:r>
        <w:rPr>
          <w:rFonts w:hint="eastAsia" w:ascii="宋体" w:hAnsi="宋体"/>
          <w:kern w:val="0"/>
          <w:sz w:val="24"/>
        </w:rPr>
        <w:t>法定代表人资格证明书</w:t>
      </w:r>
      <w:r>
        <w:rPr>
          <w:rFonts w:hint="eastAsia" w:ascii="宋体" w:hAnsi="宋体"/>
          <w:sz w:val="24"/>
        </w:rPr>
        <w:t>、法人代表授权委托书及身份证复印件</w:t>
      </w:r>
      <w:r>
        <w:rPr>
          <w:rFonts w:hint="eastAsia" w:ascii="宋体" w:hAnsi="宋体"/>
          <w:sz w:val="24"/>
          <w:szCs w:val="24"/>
        </w:rPr>
        <w:t>；</w:t>
      </w:r>
    </w:p>
    <w:p>
      <w:pPr>
        <w:numPr>
          <w:ilvl w:val="0"/>
          <w:numId w:val="7"/>
        </w:numPr>
        <w:tabs>
          <w:tab w:val="left" w:pos="425"/>
        </w:tabs>
        <w:spacing w:line="360" w:lineRule="auto"/>
        <w:ind w:left="0" w:firstLine="480" w:firstLineChars="200"/>
        <w:rPr>
          <w:rFonts w:ascii="宋体" w:hAnsi="宋体"/>
          <w:sz w:val="24"/>
          <w:szCs w:val="24"/>
        </w:rPr>
      </w:pPr>
      <w:r>
        <w:rPr>
          <w:rFonts w:hint="eastAsia" w:ascii="宋体" w:hAnsi="宋体"/>
          <w:sz w:val="24"/>
          <w:szCs w:val="24"/>
        </w:rPr>
        <w:t>投标人简介；</w:t>
      </w:r>
    </w:p>
    <w:p>
      <w:pPr>
        <w:numPr>
          <w:ilvl w:val="0"/>
          <w:numId w:val="7"/>
        </w:numPr>
        <w:tabs>
          <w:tab w:val="left" w:pos="425"/>
        </w:tabs>
        <w:spacing w:line="360" w:lineRule="auto"/>
        <w:ind w:left="0" w:firstLine="480" w:firstLineChars="200"/>
        <w:rPr>
          <w:rFonts w:ascii="宋体" w:hAnsi="宋体"/>
          <w:sz w:val="24"/>
          <w:szCs w:val="24"/>
        </w:rPr>
      </w:pPr>
      <w:r>
        <w:rPr>
          <w:rFonts w:hint="eastAsia" w:ascii="宋体" w:hAnsi="宋体"/>
          <w:sz w:val="24"/>
          <w:szCs w:val="24"/>
        </w:rPr>
        <w:t>营业执照复印件（加盖公章）；</w:t>
      </w:r>
    </w:p>
    <w:p>
      <w:pPr>
        <w:numPr>
          <w:ilvl w:val="0"/>
          <w:numId w:val="7"/>
        </w:numPr>
        <w:tabs>
          <w:tab w:val="left" w:pos="425"/>
        </w:tabs>
        <w:spacing w:line="360" w:lineRule="auto"/>
        <w:ind w:left="0" w:firstLine="480" w:firstLineChars="200"/>
        <w:rPr>
          <w:rFonts w:ascii="宋体" w:hAnsi="宋体"/>
          <w:sz w:val="24"/>
          <w:szCs w:val="24"/>
        </w:rPr>
      </w:pPr>
      <w:r>
        <w:rPr>
          <w:rFonts w:hint="eastAsia" w:ascii="宋体" w:hAnsi="宋体"/>
          <w:sz w:val="24"/>
          <w:szCs w:val="24"/>
        </w:rPr>
        <w:t>税务登记复印件（加盖公章）；</w:t>
      </w:r>
    </w:p>
    <w:p>
      <w:pPr>
        <w:numPr>
          <w:ilvl w:val="0"/>
          <w:numId w:val="7"/>
        </w:numPr>
        <w:tabs>
          <w:tab w:val="left" w:pos="425"/>
        </w:tabs>
        <w:spacing w:line="360" w:lineRule="auto"/>
        <w:ind w:left="0" w:firstLine="480" w:firstLineChars="200"/>
        <w:rPr>
          <w:rFonts w:ascii="宋体" w:hAnsi="宋体"/>
          <w:sz w:val="24"/>
        </w:rPr>
      </w:pPr>
      <w:r>
        <w:rPr>
          <w:rFonts w:hint="eastAsia" w:ascii="宋体" w:hAnsi="宋体"/>
          <w:sz w:val="24"/>
        </w:rPr>
        <w:t>最近一年的财务报表、近三个月纳税证明文件与社保缴纳证明。</w:t>
      </w:r>
    </w:p>
    <w:p>
      <w:pPr>
        <w:numPr>
          <w:ilvl w:val="0"/>
          <w:numId w:val="7"/>
        </w:numPr>
        <w:tabs>
          <w:tab w:val="left" w:pos="425"/>
        </w:tabs>
        <w:spacing w:line="360" w:lineRule="auto"/>
        <w:ind w:left="0" w:firstLine="480" w:firstLineChars="200"/>
        <w:rPr>
          <w:rFonts w:ascii="宋体" w:hAnsi="宋体"/>
          <w:sz w:val="24"/>
        </w:rPr>
      </w:pPr>
      <w:r>
        <w:rPr>
          <w:rFonts w:hint="eastAsia" w:ascii="宋体" w:hAnsi="宋体"/>
          <w:sz w:val="24"/>
          <w:szCs w:val="24"/>
        </w:rPr>
        <w:t>其他相关资质证明材料。</w:t>
      </w:r>
    </w:p>
    <w:p>
      <w:pPr>
        <w:spacing w:line="360" w:lineRule="auto"/>
        <w:ind w:firstLine="480" w:firstLineChars="200"/>
        <w:rPr>
          <w:rFonts w:ascii="宋体" w:hAnsi="宋体"/>
          <w:sz w:val="24"/>
        </w:rPr>
      </w:pPr>
      <w:r>
        <w:rPr>
          <w:rFonts w:hint="eastAsia" w:ascii="宋体" w:hAnsi="宋体"/>
          <w:sz w:val="24"/>
        </w:rPr>
        <w:t>说明：投标单位应当按照招标文件要求编制投标文件，必须保证所提供的全部资料真实、有效。</w:t>
      </w:r>
    </w:p>
    <w:p>
      <w:pPr>
        <w:spacing w:line="360" w:lineRule="auto"/>
        <w:ind w:firstLine="482" w:firstLineChars="200"/>
        <w:rPr>
          <w:rFonts w:ascii="宋体" w:hAnsi="宋体"/>
          <w:b/>
          <w:bCs/>
          <w:sz w:val="24"/>
        </w:rPr>
      </w:pPr>
      <w:r>
        <w:rPr>
          <w:rFonts w:hint="eastAsia" w:ascii="宋体" w:hAnsi="宋体"/>
          <w:b/>
          <w:bCs/>
          <w:sz w:val="24"/>
        </w:rPr>
        <w:t>二、投标文件的编写及签署</w:t>
      </w:r>
    </w:p>
    <w:p>
      <w:pPr>
        <w:numPr>
          <w:ilvl w:val="0"/>
          <w:numId w:val="8"/>
        </w:numPr>
        <w:tabs>
          <w:tab w:val="left" w:pos="0"/>
        </w:tabs>
        <w:spacing w:line="360" w:lineRule="auto"/>
        <w:ind w:left="0" w:firstLine="480" w:firstLineChars="200"/>
        <w:rPr>
          <w:rFonts w:ascii="宋体" w:hAnsi="宋体"/>
          <w:sz w:val="24"/>
        </w:rPr>
      </w:pPr>
      <w:r>
        <w:rPr>
          <w:rFonts w:hint="eastAsia" w:ascii="宋体" w:hAnsi="宋体"/>
          <w:color w:val="FF0000"/>
          <w:sz w:val="24"/>
        </w:rPr>
        <w:t>投标文件一式4份，其中正本1份，副本3份</w:t>
      </w:r>
      <w:r>
        <w:rPr>
          <w:rFonts w:hint="eastAsia" w:ascii="宋体" w:hAnsi="宋体"/>
          <w:sz w:val="24"/>
        </w:rPr>
        <w:t>，招标文件均要求打印装订并编制目录，并注明“正本”和“副本”字样。副本可以用复印件。一旦正本和副本有差异，以正本为准。电报、电话、传真形式的投标概不接受。标书不论中标与否一律不退。</w:t>
      </w:r>
    </w:p>
    <w:p>
      <w:pPr>
        <w:numPr>
          <w:ilvl w:val="0"/>
          <w:numId w:val="8"/>
        </w:numPr>
        <w:tabs>
          <w:tab w:val="left" w:pos="0"/>
        </w:tabs>
        <w:spacing w:line="360" w:lineRule="auto"/>
        <w:ind w:left="0" w:firstLine="480" w:firstLineChars="200"/>
        <w:rPr>
          <w:rFonts w:ascii="宋体" w:hAnsi="宋体"/>
          <w:b/>
          <w:sz w:val="24"/>
        </w:rPr>
      </w:pPr>
      <w:r>
        <w:rPr>
          <w:rFonts w:hint="eastAsia" w:ascii="宋体" w:hAnsi="宋体"/>
          <w:sz w:val="24"/>
        </w:rPr>
        <w:t>第一册技术文件与第二册商务文件分别密封。</w:t>
      </w:r>
    </w:p>
    <w:p>
      <w:pPr>
        <w:numPr>
          <w:ilvl w:val="0"/>
          <w:numId w:val="8"/>
        </w:numPr>
        <w:tabs>
          <w:tab w:val="left" w:pos="0"/>
        </w:tabs>
        <w:spacing w:line="360" w:lineRule="auto"/>
        <w:ind w:left="0" w:firstLine="480" w:firstLineChars="200"/>
        <w:rPr>
          <w:rFonts w:ascii="宋体" w:hAnsi="宋体"/>
          <w:sz w:val="24"/>
        </w:rPr>
      </w:pPr>
      <w:r>
        <w:rPr>
          <w:rFonts w:hint="eastAsia" w:ascii="宋体" w:hAnsi="宋体"/>
          <w:sz w:val="24"/>
        </w:rPr>
        <w:t>投标文件必须由法人代表或正式授权的代表签字。</w:t>
      </w:r>
    </w:p>
    <w:p>
      <w:pPr>
        <w:numPr>
          <w:ilvl w:val="0"/>
          <w:numId w:val="8"/>
        </w:numPr>
        <w:tabs>
          <w:tab w:val="left" w:pos="0"/>
        </w:tabs>
        <w:spacing w:line="360" w:lineRule="auto"/>
        <w:ind w:left="0" w:firstLine="480" w:firstLineChars="200"/>
        <w:rPr>
          <w:rFonts w:ascii="宋体" w:hAnsi="宋体"/>
          <w:sz w:val="24"/>
        </w:rPr>
      </w:pPr>
      <w:r>
        <w:rPr>
          <w:rFonts w:hint="eastAsia" w:ascii="宋体" w:hAnsi="宋体"/>
          <w:sz w:val="24"/>
        </w:rPr>
        <w:t>投标文件中不许有涂改和增删，若有修改须有同一签署人签字或盖章。</w:t>
      </w:r>
    </w:p>
    <w:p>
      <w:pPr>
        <w:numPr>
          <w:ilvl w:val="0"/>
          <w:numId w:val="8"/>
        </w:numPr>
        <w:tabs>
          <w:tab w:val="left" w:pos="0"/>
        </w:tabs>
        <w:spacing w:line="360" w:lineRule="auto"/>
        <w:ind w:left="0" w:firstLine="480" w:firstLineChars="200"/>
        <w:rPr>
          <w:rFonts w:ascii="宋体" w:hAnsi="宋体"/>
          <w:sz w:val="24"/>
        </w:rPr>
      </w:pPr>
      <w:r>
        <w:rPr>
          <w:rFonts w:hint="eastAsia" w:ascii="宋体" w:hAnsi="宋体"/>
          <w:sz w:val="24"/>
        </w:rPr>
        <w:t>要求按招标文件规定的格式填写、统一规范，不得自行增减内容。</w:t>
      </w:r>
    </w:p>
    <w:p>
      <w:pPr>
        <w:numPr>
          <w:ilvl w:val="0"/>
          <w:numId w:val="9"/>
        </w:numPr>
        <w:spacing w:line="360" w:lineRule="auto"/>
        <w:ind w:firstLine="482" w:firstLineChars="200"/>
        <w:rPr>
          <w:rFonts w:ascii="宋体" w:hAnsi="宋体"/>
          <w:b/>
          <w:bCs/>
          <w:sz w:val="24"/>
        </w:rPr>
      </w:pPr>
      <w:r>
        <w:rPr>
          <w:rFonts w:hint="eastAsia" w:ascii="宋体" w:hAnsi="宋体"/>
          <w:b/>
          <w:bCs/>
          <w:sz w:val="24"/>
        </w:rPr>
        <w:t>投标文件的密封和标记</w:t>
      </w:r>
    </w:p>
    <w:p>
      <w:pPr>
        <w:spacing w:line="360" w:lineRule="auto"/>
        <w:ind w:firstLine="480" w:firstLineChars="200"/>
        <w:rPr>
          <w:rFonts w:ascii="宋体" w:hAnsi="宋体"/>
          <w:sz w:val="24"/>
        </w:rPr>
      </w:pPr>
      <w:r>
        <w:rPr>
          <w:rFonts w:hint="eastAsia" w:ascii="宋体" w:hAnsi="宋体"/>
          <w:sz w:val="24"/>
        </w:rPr>
        <w:t>投标文件用密封袋密封，封口处应有投标全权代表的签字及投标单位公章。封皮上写明投标单位名称、投标名称。</w:t>
      </w:r>
    </w:p>
    <w:p>
      <w:pPr>
        <w:numPr>
          <w:ilvl w:val="0"/>
          <w:numId w:val="9"/>
        </w:numPr>
        <w:spacing w:line="360" w:lineRule="auto"/>
        <w:ind w:firstLine="482" w:firstLineChars="200"/>
        <w:rPr>
          <w:rFonts w:ascii="宋体" w:hAnsi="宋体"/>
          <w:b/>
          <w:bCs/>
          <w:sz w:val="24"/>
        </w:rPr>
      </w:pPr>
      <w:r>
        <w:rPr>
          <w:rFonts w:hint="eastAsia" w:ascii="宋体" w:hAnsi="宋体"/>
          <w:b/>
          <w:bCs/>
          <w:sz w:val="24"/>
        </w:rPr>
        <w:t>投标文件的递交</w:t>
      </w:r>
    </w:p>
    <w:p>
      <w:pPr>
        <w:spacing w:line="360" w:lineRule="auto"/>
        <w:ind w:firstLine="480" w:firstLineChars="200"/>
        <w:rPr>
          <w:rFonts w:ascii="宋体" w:hAnsi="宋体"/>
          <w:sz w:val="24"/>
        </w:rPr>
      </w:pPr>
      <w:r>
        <w:rPr>
          <w:rFonts w:hint="eastAsia" w:ascii="宋体" w:hAnsi="宋体"/>
          <w:sz w:val="24"/>
        </w:rPr>
        <w:t>为简化和方便评标，投标单位报名后应在《招标公告》规定的开标地点，自行携带投标文件在规定的投标时间内进行投标。在投标截止时间以后送达的投标文件，招标人拒绝接收并视为放弃。</w:t>
      </w:r>
    </w:p>
    <w:p>
      <w:pPr>
        <w:numPr>
          <w:ilvl w:val="0"/>
          <w:numId w:val="9"/>
        </w:numPr>
        <w:spacing w:line="360" w:lineRule="auto"/>
        <w:ind w:firstLine="482" w:firstLineChars="200"/>
        <w:rPr>
          <w:rFonts w:ascii="宋体" w:hAnsi="宋体"/>
          <w:b/>
          <w:bCs/>
          <w:sz w:val="24"/>
        </w:rPr>
      </w:pPr>
      <w:r>
        <w:rPr>
          <w:rFonts w:hint="eastAsia" w:ascii="宋体" w:hAnsi="宋体"/>
          <w:b/>
          <w:bCs/>
          <w:sz w:val="24"/>
        </w:rPr>
        <w:t>投标的有效期</w:t>
      </w:r>
    </w:p>
    <w:p>
      <w:pPr>
        <w:spacing w:line="360" w:lineRule="auto"/>
        <w:ind w:firstLine="480" w:firstLineChars="200"/>
        <w:rPr>
          <w:rFonts w:ascii="宋体" w:hAnsi="宋体"/>
          <w:sz w:val="24"/>
        </w:rPr>
      </w:pPr>
      <w:r>
        <w:rPr>
          <w:rFonts w:hint="eastAsia" w:ascii="宋体" w:hAnsi="宋体"/>
          <w:sz w:val="24"/>
        </w:rPr>
        <w:t>从投标截止之日起</w:t>
      </w:r>
      <w:r>
        <w:rPr>
          <w:rFonts w:ascii="宋体" w:hAnsi="宋体"/>
          <w:sz w:val="24"/>
        </w:rPr>
        <w:t>1</w:t>
      </w:r>
      <w:r>
        <w:rPr>
          <w:rFonts w:hint="eastAsia" w:ascii="宋体" w:hAnsi="宋体"/>
          <w:sz w:val="24"/>
        </w:rPr>
        <w:t>0个工作日为有效期，评标和定标将在有效期结束前完成。</w:t>
      </w: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ind w:firstLine="643" w:firstLineChars="200"/>
        <w:rPr>
          <w:rFonts w:ascii="宋体" w:hAnsi="宋体"/>
          <w:b/>
          <w:sz w:val="32"/>
          <w:szCs w:val="32"/>
        </w:rPr>
      </w:pPr>
    </w:p>
    <w:p>
      <w:pPr>
        <w:rPr>
          <w:rFonts w:ascii="宋体" w:hAnsi="宋体"/>
          <w:b/>
          <w:sz w:val="32"/>
          <w:szCs w:val="32"/>
        </w:rPr>
      </w:pPr>
    </w:p>
    <w:p>
      <w:pPr>
        <w:numPr>
          <w:ilvl w:val="0"/>
          <w:numId w:val="1"/>
        </w:numPr>
        <w:ind w:firstLine="643" w:firstLineChars="200"/>
        <w:jc w:val="center"/>
        <w:outlineLvl w:val="0"/>
        <w:rPr>
          <w:rFonts w:ascii="宋体" w:hAnsi="宋体"/>
          <w:b/>
          <w:sz w:val="32"/>
          <w:szCs w:val="32"/>
        </w:rPr>
      </w:pPr>
      <w:bookmarkStart w:id="17" w:name="_Toc22122855"/>
      <w:bookmarkStart w:id="18" w:name="_Toc22565949"/>
      <w:bookmarkStart w:id="19" w:name="_Toc11455"/>
      <w:bookmarkStart w:id="20" w:name="_Toc29797"/>
      <w:bookmarkStart w:id="21" w:name="_Toc9613"/>
      <w:r>
        <w:rPr>
          <w:rFonts w:hint="eastAsia" w:ascii="宋体" w:hAnsi="宋体"/>
          <w:b/>
          <w:sz w:val="32"/>
          <w:szCs w:val="32"/>
        </w:rPr>
        <w:t>开标及评标</w:t>
      </w:r>
      <w:bookmarkEnd w:id="17"/>
      <w:bookmarkEnd w:id="18"/>
      <w:bookmarkEnd w:id="19"/>
      <w:bookmarkEnd w:id="20"/>
      <w:bookmarkEnd w:id="21"/>
    </w:p>
    <w:p>
      <w:pPr>
        <w:spacing w:line="360" w:lineRule="auto"/>
        <w:ind w:firstLine="562" w:firstLineChars="200"/>
        <w:rPr>
          <w:rFonts w:ascii="宋体" w:hAnsi="宋体"/>
          <w:b/>
          <w:sz w:val="28"/>
          <w:szCs w:val="28"/>
        </w:rPr>
      </w:pPr>
      <w:r>
        <w:rPr>
          <w:rFonts w:hint="eastAsia" w:ascii="宋体" w:hAnsi="宋体"/>
          <w:b/>
          <w:sz w:val="28"/>
          <w:szCs w:val="28"/>
        </w:rPr>
        <w:t>一、开标</w:t>
      </w:r>
    </w:p>
    <w:p>
      <w:pPr>
        <w:numPr>
          <w:ilvl w:val="0"/>
          <w:numId w:val="10"/>
        </w:numPr>
        <w:spacing w:line="360" w:lineRule="auto"/>
        <w:ind w:left="0" w:firstLine="480" w:firstLineChars="200"/>
        <w:rPr>
          <w:rFonts w:ascii="宋体" w:hAnsi="宋体"/>
          <w:sz w:val="24"/>
        </w:rPr>
      </w:pPr>
      <w:r>
        <w:rPr>
          <w:rFonts w:hint="eastAsia" w:ascii="宋体" w:hAnsi="宋体"/>
          <w:sz w:val="24"/>
        </w:rPr>
        <w:t>开标</w:t>
      </w:r>
    </w:p>
    <w:p>
      <w:pPr>
        <w:numPr>
          <w:ilvl w:val="0"/>
          <w:numId w:val="11"/>
        </w:numPr>
        <w:spacing w:line="360" w:lineRule="auto"/>
        <w:ind w:left="0" w:firstLine="480" w:firstLineChars="200"/>
        <w:rPr>
          <w:rFonts w:ascii="宋体" w:hAnsi="宋体"/>
          <w:sz w:val="24"/>
        </w:rPr>
      </w:pPr>
      <w:r>
        <w:rPr>
          <w:rFonts w:hint="eastAsia" w:ascii="宋体" w:hAnsi="宋体"/>
          <w:sz w:val="24"/>
        </w:rPr>
        <w:t>招标方按招标公告中规定的时间和地点开标。</w:t>
      </w:r>
    </w:p>
    <w:p>
      <w:pPr>
        <w:numPr>
          <w:ilvl w:val="0"/>
          <w:numId w:val="11"/>
        </w:numPr>
        <w:spacing w:line="360" w:lineRule="auto"/>
        <w:ind w:left="0" w:firstLine="480" w:firstLineChars="200"/>
        <w:rPr>
          <w:rFonts w:ascii="宋体" w:hAnsi="宋体"/>
          <w:sz w:val="24"/>
        </w:rPr>
      </w:pPr>
      <w:r>
        <w:rPr>
          <w:rFonts w:hint="eastAsia" w:ascii="宋体" w:hAnsi="宋体"/>
          <w:sz w:val="24"/>
        </w:rPr>
        <w:t>开标前查验投标文件密封情况，确认无误后拆封。</w:t>
      </w:r>
    </w:p>
    <w:p>
      <w:pPr>
        <w:numPr>
          <w:ilvl w:val="0"/>
          <w:numId w:val="11"/>
        </w:numPr>
        <w:spacing w:line="360" w:lineRule="auto"/>
        <w:ind w:left="0" w:firstLine="480" w:firstLineChars="200"/>
        <w:rPr>
          <w:rFonts w:ascii="宋体" w:hAnsi="宋体"/>
          <w:sz w:val="24"/>
        </w:rPr>
      </w:pPr>
      <w:r>
        <w:rPr>
          <w:rFonts w:hint="eastAsia" w:ascii="宋体" w:hAnsi="宋体"/>
          <w:sz w:val="24"/>
        </w:rPr>
        <w:t>开标时，招标人将开标记录并由投标人当场签字确认。</w:t>
      </w:r>
    </w:p>
    <w:p>
      <w:pPr>
        <w:numPr>
          <w:ilvl w:val="0"/>
          <w:numId w:val="11"/>
        </w:numPr>
        <w:spacing w:line="360" w:lineRule="auto"/>
        <w:ind w:left="0" w:firstLine="480" w:firstLineChars="200"/>
        <w:rPr>
          <w:rFonts w:ascii="宋体" w:hAnsi="宋体"/>
          <w:sz w:val="24"/>
        </w:rPr>
      </w:pPr>
      <w:r>
        <w:rPr>
          <w:rFonts w:hint="eastAsia" w:ascii="宋体" w:hAnsi="宋体"/>
          <w:sz w:val="24"/>
        </w:rPr>
        <w:t>投标文件有下列情况之一的，招标人不予受理并做弃权处理：</w:t>
      </w:r>
    </w:p>
    <w:p>
      <w:pPr>
        <w:numPr>
          <w:ilvl w:val="1"/>
          <w:numId w:val="12"/>
        </w:numPr>
        <w:spacing w:line="360" w:lineRule="auto"/>
        <w:rPr>
          <w:rFonts w:ascii="宋体" w:hAnsi="宋体"/>
          <w:sz w:val="24"/>
        </w:rPr>
      </w:pPr>
      <w:r>
        <w:rPr>
          <w:rFonts w:hint="eastAsia" w:ascii="宋体" w:hAnsi="宋体"/>
          <w:sz w:val="24"/>
        </w:rPr>
        <w:t>未按招标文件要求密封的。</w:t>
      </w:r>
    </w:p>
    <w:p>
      <w:pPr>
        <w:numPr>
          <w:ilvl w:val="1"/>
          <w:numId w:val="12"/>
        </w:numPr>
        <w:spacing w:line="360" w:lineRule="auto"/>
        <w:rPr>
          <w:rFonts w:ascii="宋体" w:hAnsi="宋体"/>
          <w:color w:val="FF0000"/>
          <w:sz w:val="24"/>
        </w:rPr>
      </w:pPr>
      <w:r>
        <w:rPr>
          <w:rFonts w:hint="eastAsia" w:ascii="宋体" w:hAnsi="宋体"/>
          <w:color w:val="FF0000"/>
          <w:sz w:val="24"/>
        </w:rPr>
        <w:t>投标文件中缺少招标方所要求的内容的。</w:t>
      </w:r>
    </w:p>
    <w:p>
      <w:pPr>
        <w:numPr>
          <w:ilvl w:val="1"/>
          <w:numId w:val="12"/>
        </w:numPr>
        <w:spacing w:line="360" w:lineRule="auto"/>
        <w:rPr>
          <w:rFonts w:ascii="宋体" w:hAnsi="宋体"/>
          <w:b/>
          <w:sz w:val="24"/>
        </w:rPr>
      </w:pPr>
      <w:r>
        <w:rPr>
          <w:rFonts w:hint="eastAsia" w:ascii="宋体" w:hAnsi="宋体"/>
          <w:sz w:val="24"/>
        </w:rPr>
        <w:t>投标截止时间之后递交的投标文件。</w:t>
      </w:r>
    </w:p>
    <w:p>
      <w:pPr>
        <w:spacing w:line="360" w:lineRule="auto"/>
        <w:ind w:firstLine="562" w:firstLineChars="200"/>
        <w:rPr>
          <w:rFonts w:ascii="宋体" w:hAnsi="宋体"/>
          <w:b/>
          <w:sz w:val="28"/>
          <w:szCs w:val="28"/>
        </w:rPr>
      </w:pPr>
      <w:r>
        <w:rPr>
          <w:rFonts w:hint="eastAsia" w:ascii="宋体" w:hAnsi="宋体"/>
          <w:b/>
          <w:sz w:val="28"/>
          <w:szCs w:val="28"/>
        </w:rPr>
        <w:t>二、评标</w:t>
      </w:r>
    </w:p>
    <w:p>
      <w:pPr>
        <w:numPr>
          <w:ilvl w:val="0"/>
          <w:numId w:val="13"/>
        </w:numPr>
        <w:spacing w:line="360" w:lineRule="auto"/>
        <w:ind w:left="0" w:firstLine="480" w:firstLineChars="200"/>
        <w:rPr>
          <w:rFonts w:ascii="宋体" w:cs="宋体"/>
          <w:bCs/>
          <w:color w:val="000000"/>
          <w:kern w:val="0"/>
          <w:sz w:val="24"/>
          <w:lang w:val="zh-CN"/>
        </w:rPr>
      </w:pPr>
      <w:r>
        <w:rPr>
          <w:rFonts w:hint="eastAsia" w:ascii="宋体" w:hAnsi="宋体"/>
          <w:sz w:val="24"/>
        </w:rPr>
        <w:t>评标方法</w:t>
      </w:r>
    </w:p>
    <w:p>
      <w:pPr>
        <w:numPr>
          <w:ilvl w:val="0"/>
          <w:numId w:val="14"/>
        </w:numPr>
        <w:spacing w:line="360" w:lineRule="auto"/>
        <w:ind w:left="0" w:firstLine="480" w:firstLineChars="200"/>
        <w:rPr>
          <w:rFonts w:ascii="宋体" w:hAnsi="宋体"/>
          <w:sz w:val="24"/>
          <w:lang w:val="zh-CN"/>
        </w:rPr>
      </w:pPr>
      <w:r>
        <w:rPr>
          <w:rFonts w:hint="eastAsia" w:ascii="宋体" w:hAnsi="宋体"/>
          <w:sz w:val="24"/>
        </w:rPr>
        <w:t>评标委员会将遵循公开、公平、公正的原则，对投标方技术方案、工期、实施方案、售后服务、培训计划、公司基本情况、履约能力等进行综合分析评价，决定中标单位。</w:t>
      </w:r>
    </w:p>
    <w:p>
      <w:pPr>
        <w:numPr>
          <w:ilvl w:val="0"/>
          <w:numId w:val="14"/>
        </w:numPr>
        <w:spacing w:line="360" w:lineRule="auto"/>
        <w:ind w:left="0" w:firstLine="480" w:firstLineChars="200"/>
        <w:rPr>
          <w:rFonts w:ascii="宋体" w:hAnsi="宋体"/>
          <w:sz w:val="24"/>
          <w:lang w:val="zh-CN"/>
        </w:rPr>
      </w:pPr>
      <w:r>
        <w:rPr>
          <w:rFonts w:hint="eastAsia" w:hAnsi="宋体"/>
          <w:sz w:val="24"/>
        </w:rPr>
        <w:t>评标委员会首先审核投标单位资质。</w:t>
      </w:r>
    </w:p>
    <w:p>
      <w:pPr>
        <w:numPr>
          <w:ilvl w:val="0"/>
          <w:numId w:val="14"/>
        </w:numPr>
        <w:spacing w:line="360" w:lineRule="auto"/>
        <w:ind w:left="0" w:firstLine="480" w:firstLineChars="200"/>
        <w:rPr>
          <w:rFonts w:ascii="宋体" w:hAnsi="宋体"/>
          <w:sz w:val="24"/>
          <w:lang w:val="zh-CN"/>
        </w:rPr>
      </w:pPr>
      <w:r>
        <w:rPr>
          <w:rFonts w:hint="eastAsia" w:ascii="宋体" w:hAnsi="宋体"/>
          <w:sz w:val="24"/>
        </w:rPr>
        <w:t>客观、公正的对待所有投标方，对所有投标评价，均采用相同的程序和标准。</w:t>
      </w:r>
    </w:p>
    <w:p>
      <w:pPr>
        <w:numPr>
          <w:ilvl w:val="0"/>
          <w:numId w:val="14"/>
        </w:numPr>
        <w:spacing w:line="360" w:lineRule="auto"/>
        <w:ind w:left="0" w:firstLine="480" w:firstLineChars="200"/>
        <w:rPr>
          <w:rFonts w:ascii="宋体" w:hAnsi="宋体"/>
          <w:sz w:val="24"/>
          <w:lang w:val="zh-CN"/>
        </w:rPr>
      </w:pPr>
      <w:r>
        <w:rPr>
          <w:rFonts w:hint="eastAsia" w:ascii="宋体" w:hAnsi="宋体"/>
          <w:sz w:val="24"/>
        </w:rPr>
        <w:t>在开标、投标期间，投标方不得向评标委员会成员询问评标情况，不得进行旨在影响评标结果的活动，否则将废除其投标资格。</w:t>
      </w:r>
    </w:p>
    <w:p>
      <w:pPr>
        <w:numPr>
          <w:ilvl w:val="0"/>
          <w:numId w:val="14"/>
        </w:numPr>
        <w:spacing w:line="360" w:lineRule="auto"/>
        <w:ind w:left="0" w:firstLine="480" w:firstLineChars="200"/>
        <w:rPr>
          <w:rFonts w:ascii="宋体" w:hAnsi="宋体"/>
          <w:sz w:val="24"/>
          <w:lang w:val="zh-CN"/>
        </w:rPr>
      </w:pPr>
      <w:r>
        <w:rPr>
          <w:rFonts w:hint="eastAsia" w:ascii="宋体" w:hAnsi="宋体"/>
          <w:sz w:val="24"/>
        </w:rPr>
        <w:t>在评标过程中，评标成员不得与投标方私下交换意见，在招标工作结束后，凡与评标情况有接触的人不得将评标情况扩散出评标成员之外。</w:t>
      </w:r>
    </w:p>
    <w:p>
      <w:pPr>
        <w:numPr>
          <w:ilvl w:val="0"/>
          <w:numId w:val="14"/>
        </w:numPr>
        <w:spacing w:line="360" w:lineRule="auto"/>
        <w:ind w:left="0" w:firstLine="480" w:firstLineChars="200"/>
        <w:rPr>
          <w:rFonts w:ascii="宋体" w:hAnsi="宋体"/>
          <w:sz w:val="24"/>
        </w:rPr>
      </w:pPr>
      <w:r>
        <w:rPr>
          <w:rFonts w:hint="eastAsia" w:ascii="宋体" w:hAnsi="宋体"/>
          <w:sz w:val="24"/>
        </w:rPr>
        <w:t>为了有助于对投标文件进行审查、评估和比较，评标委员会有权向投标单位提出质疑，投标单位有义务在招标方通知的开标时间、地点指派技术人员参加开标并现场答疑。</w:t>
      </w:r>
    </w:p>
    <w:p>
      <w:pPr>
        <w:numPr>
          <w:ilvl w:val="0"/>
          <w:numId w:val="14"/>
        </w:numPr>
        <w:spacing w:line="360" w:lineRule="auto"/>
        <w:ind w:left="0" w:firstLine="480" w:firstLineChars="200"/>
        <w:rPr>
          <w:rFonts w:ascii="宋体" w:hAnsi="宋体"/>
          <w:sz w:val="24"/>
        </w:rPr>
      </w:pPr>
      <w:r>
        <w:rPr>
          <w:rFonts w:hint="eastAsia" w:ascii="宋体" w:hAnsi="宋体"/>
          <w:sz w:val="24"/>
        </w:rPr>
        <w:t>在评标过程当中投标文件有下列情况之一的，按废标处理：</w:t>
      </w:r>
    </w:p>
    <w:p>
      <w:pPr>
        <w:numPr>
          <w:ilvl w:val="1"/>
          <w:numId w:val="15"/>
        </w:numPr>
        <w:spacing w:line="360" w:lineRule="auto"/>
        <w:rPr>
          <w:rFonts w:ascii="宋体" w:hAnsi="宋体"/>
          <w:sz w:val="24"/>
        </w:rPr>
      </w:pPr>
      <w:r>
        <w:rPr>
          <w:rFonts w:hint="eastAsia" w:ascii="宋体" w:hAnsi="宋体"/>
          <w:sz w:val="24"/>
        </w:rPr>
        <w:t>无单位盖章并无法定代表人或法定代表人授权的代理人签字或盖章的；</w:t>
      </w:r>
    </w:p>
    <w:p>
      <w:pPr>
        <w:numPr>
          <w:ilvl w:val="1"/>
          <w:numId w:val="15"/>
        </w:numPr>
        <w:spacing w:line="360" w:lineRule="auto"/>
        <w:rPr>
          <w:rFonts w:ascii="宋体" w:hAnsi="宋体"/>
          <w:sz w:val="24"/>
        </w:rPr>
      </w:pPr>
      <w:r>
        <w:rPr>
          <w:rFonts w:hint="eastAsia" w:ascii="宋体" w:hAnsi="宋体"/>
          <w:sz w:val="24"/>
        </w:rPr>
        <w:t>未按规定的格式填写，内容不全或关键字迹模糊、无法辨认的；</w:t>
      </w:r>
    </w:p>
    <w:p>
      <w:pPr>
        <w:numPr>
          <w:ilvl w:val="0"/>
          <w:numId w:val="13"/>
        </w:numPr>
        <w:spacing w:line="360" w:lineRule="auto"/>
        <w:ind w:left="0" w:firstLine="480" w:firstLineChars="200"/>
        <w:rPr>
          <w:rFonts w:ascii="宋体" w:hAnsi="宋体"/>
          <w:sz w:val="24"/>
        </w:rPr>
      </w:pPr>
      <w:r>
        <w:rPr>
          <w:rFonts w:hint="eastAsia" w:ascii="宋体" w:hAnsi="宋体"/>
          <w:sz w:val="24"/>
        </w:rPr>
        <w:t>评标细则</w:t>
      </w:r>
    </w:p>
    <w:p>
      <w:pPr>
        <w:numPr>
          <w:ilvl w:val="0"/>
          <w:numId w:val="16"/>
        </w:numPr>
        <w:tabs>
          <w:tab w:val="left" w:pos="840"/>
          <w:tab w:val="clear" w:pos="425"/>
        </w:tabs>
        <w:spacing w:line="360" w:lineRule="auto"/>
        <w:ind w:left="0" w:firstLine="480" w:firstLineChars="200"/>
        <w:rPr>
          <w:rFonts w:ascii="宋体" w:hAnsi="宋体"/>
          <w:sz w:val="24"/>
        </w:rPr>
      </w:pPr>
      <w:r>
        <w:rPr>
          <w:rFonts w:hint="eastAsia" w:ascii="宋体" w:hAnsi="宋体"/>
          <w:sz w:val="24"/>
        </w:rPr>
        <w:t>对招标文件的理解和响应程度，提供详细系统建设方案，主要工作流程，关键控制节点等，建设方案要求招标人又有技术要求作出实质相应，并提出完整解决路径。工作流程简洁实用，解决方案先进可靠。</w:t>
      </w:r>
    </w:p>
    <w:p>
      <w:pPr>
        <w:numPr>
          <w:ilvl w:val="0"/>
          <w:numId w:val="16"/>
        </w:numPr>
        <w:tabs>
          <w:tab w:val="left" w:pos="840"/>
          <w:tab w:val="clear" w:pos="425"/>
        </w:tabs>
        <w:spacing w:line="360" w:lineRule="auto"/>
        <w:ind w:left="0" w:firstLine="480" w:firstLineChars="200"/>
        <w:rPr>
          <w:rFonts w:ascii="宋体" w:hAnsi="宋体"/>
          <w:sz w:val="24"/>
        </w:rPr>
      </w:pPr>
      <w:r>
        <w:rPr>
          <w:rFonts w:hint="eastAsia" w:ascii="宋体" w:hAnsi="宋体"/>
          <w:sz w:val="24"/>
        </w:rPr>
        <w:t>对建设方案的制定和落实措施（含人员配置、日程安排、工作步骤等）全面具体，具有可操作性。</w:t>
      </w:r>
    </w:p>
    <w:p>
      <w:pPr>
        <w:numPr>
          <w:ilvl w:val="0"/>
          <w:numId w:val="16"/>
        </w:numPr>
        <w:tabs>
          <w:tab w:val="left" w:pos="840"/>
          <w:tab w:val="clear" w:pos="425"/>
        </w:tabs>
        <w:spacing w:line="360" w:lineRule="auto"/>
        <w:ind w:left="0" w:firstLine="480" w:firstLineChars="200"/>
        <w:rPr>
          <w:rFonts w:ascii="宋体" w:hAnsi="宋体"/>
          <w:sz w:val="24"/>
        </w:rPr>
      </w:pPr>
      <w:r>
        <w:rPr>
          <w:rFonts w:hint="eastAsia" w:ascii="宋体" w:hAnsi="宋体"/>
          <w:sz w:val="24"/>
        </w:rPr>
        <w:t>对软件产品的总体描述，技术上先进、安全和稳定；标准上开放、兼容和通用；功能上便捷、全面和可塑；在效益上有利于实现资源共享、降低招标采购成本。</w:t>
      </w:r>
    </w:p>
    <w:p>
      <w:pPr>
        <w:numPr>
          <w:ilvl w:val="0"/>
          <w:numId w:val="13"/>
        </w:numPr>
        <w:spacing w:line="360" w:lineRule="auto"/>
        <w:ind w:left="0" w:firstLine="480" w:firstLineChars="200"/>
        <w:rPr>
          <w:rFonts w:ascii="宋体" w:hAnsi="宋体"/>
          <w:sz w:val="24"/>
        </w:rPr>
      </w:pPr>
      <w:r>
        <w:rPr>
          <w:rFonts w:hint="eastAsia" w:ascii="宋体" w:hAnsi="宋体"/>
          <w:sz w:val="24"/>
        </w:rPr>
        <w:t>保密</w:t>
      </w:r>
    </w:p>
    <w:p>
      <w:pPr>
        <w:numPr>
          <w:ilvl w:val="0"/>
          <w:numId w:val="17"/>
        </w:numPr>
        <w:spacing w:line="360" w:lineRule="auto"/>
        <w:ind w:left="0" w:firstLine="480" w:firstLineChars="200"/>
        <w:rPr>
          <w:rFonts w:ascii="宋体" w:hAnsi="宋体"/>
          <w:sz w:val="24"/>
        </w:rPr>
      </w:pPr>
      <w:r>
        <w:rPr>
          <w:rFonts w:hint="eastAsia" w:ascii="宋体" w:hAnsi="宋体"/>
          <w:sz w:val="24"/>
        </w:rPr>
        <w:t>开标之后，直到授予中标方合同止，有关投标文件的审查、解释、评估和比较以及有关授予合同意向的一切情况都不得透露给任何一方或与上述评标无关的人员。</w:t>
      </w:r>
    </w:p>
    <w:p>
      <w:pPr>
        <w:numPr>
          <w:ilvl w:val="0"/>
          <w:numId w:val="17"/>
        </w:numPr>
        <w:spacing w:line="360" w:lineRule="auto"/>
        <w:ind w:left="0" w:firstLine="480" w:firstLineChars="200"/>
        <w:rPr>
          <w:rFonts w:ascii="宋体" w:hAnsi="宋体"/>
          <w:sz w:val="24"/>
        </w:rPr>
      </w:pPr>
      <w:r>
        <w:rPr>
          <w:rFonts w:hint="eastAsia" w:ascii="宋体" w:hAnsi="宋体"/>
          <w:sz w:val="24"/>
        </w:rPr>
        <w:t>投标单位不得干扰招标方的评标活动，否则将取消其投标资格。</w:t>
      </w:r>
    </w:p>
    <w:p>
      <w:pPr>
        <w:numPr>
          <w:ilvl w:val="0"/>
          <w:numId w:val="13"/>
        </w:numPr>
        <w:spacing w:line="360" w:lineRule="auto"/>
        <w:ind w:left="0" w:firstLine="480" w:firstLineChars="200"/>
        <w:rPr>
          <w:rFonts w:ascii="宋体" w:hAnsi="宋体"/>
          <w:sz w:val="24"/>
        </w:rPr>
      </w:pPr>
      <w:r>
        <w:rPr>
          <w:rFonts w:hint="eastAsia" w:ascii="宋体" w:hAnsi="宋体"/>
          <w:sz w:val="24"/>
        </w:rPr>
        <w:t>评标标准</w:t>
      </w:r>
    </w:p>
    <w:tbl>
      <w:tblPr>
        <w:tblStyle w:val="22"/>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91"/>
        <w:gridCol w:w="1136"/>
        <w:gridCol w:w="568"/>
        <w:gridCol w:w="425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532" w:type="dxa"/>
            <w:vAlign w:val="center"/>
          </w:tcPr>
          <w:p>
            <w:pPr>
              <w:spacing w:line="240" w:lineRule="atLeast"/>
              <w:ind w:firstLine="28"/>
              <w:jc w:val="center"/>
              <w:rPr>
                <w:rFonts w:ascii="宋体" w:hAnsi="宋体"/>
                <w:b/>
                <w:szCs w:val="21"/>
              </w:rPr>
            </w:pPr>
            <w:r>
              <w:rPr>
                <w:rFonts w:ascii="宋体" w:hAnsi="宋体"/>
                <w:b/>
                <w:szCs w:val="21"/>
              </w:rPr>
              <w:t>序号</w:t>
            </w:r>
          </w:p>
        </w:tc>
        <w:tc>
          <w:tcPr>
            <w:tcW w:w="2127" w:type="dxa"/>
            <w:gridSpan w:val="2"/>
            <w:vAlign w:val="center"/>
          </w:tcPr>
          <w:p>
            <w:pPr>
              <w:spacing w:line="240" w:lineRule="atLeast"/>
              <w:ind w:firstLine="28"/>
              <w:jc w:val="center"/>
              <w:rPr>
                <w:rFonts w:ascii="宋体" w:hAnsi="宋体"/>
                <w:b/>
                <w:szCs w:val="21"/>
              </w:rPr>
            </w:pPr>
            <w:r>
              <w:rPr>
                <w:rFonts w:ascii="宋体" w:hAnsi="宋体"/>
                <w:b/>
                <w:szCs w:val="21"/>
              </w:rPr>
              <w:t>评分因素及权值</w:t>
            </w:r>
          </w:p>
        </w:tc>
        <w:tc>
          <w:tcPr>
            <w:tcW w:w="568" w:type="dxa"/>
            <w:vAlign w:val="center"/>
          </w:tcPr>
          <w:p>
            <w:pPr>
              <w:spacing w:line="240" w:lineRule="atLeast"/>
              <w:ind w:firstLine="28"/>
              <w:jc w:val="center"/>
              <w:rPr>
                <w:rFonts w:ascii="宋体" w:hAnsi="宋体"/>
                <w:b/>
                <w:szCs w:val="21"/>
              </w:rPr>
            </w:pPr>
            <w:r>
              <w:rPr>
                <w:rFonts w:ascii="宋体" w:hAnsi="宋体"/>
                <w:b/>
                <w:szCs w:val="21"/>
              </w:rPr>
              <w:t>分值</w:t>
            </w:r>
          </w:p>
        </w:tc>
        <w:tc>
          <w:tcPr>
            <w:tcW w:w="4252" w:type="dxa"/>
            <w:vAlign w:val="center"/>
          </w:tcPr>
          <w:p>
            <w:pPr>
              <w:spacing w:line="240" w:lineRule="atLeast"/>
              <w:ind w:firstLine="28"/>
              <w:jc w:val="center"/>
              <w:rPr>
                <w:rFonts w:ascii="宋体" w:hAnsi="宋体"/>
                <w:b/>
                <w:szCs w:val="21"/>
              </w:rPr>
            </w:pPr>
            <w:r>
              <w:rPr>
                <w:rFonts w:ascii="宋体" w:hAnsi="宋体"/>
                <w:b/>
                <w:szCs w:val="21"/>
              </w:rPr>
              <w:t>评分标准</w:t>
            </w:r>
          </w:p>
        </w:tc>
        <w:tc>
          <w:tcPr>
            <w:tcW w:w="2257" w:type="dxa"/>
            <w:vAlign w:val="center"/>
          </w:tcPr>
          <w:p>
            <w:pPr>
              <w:pStyle w:val="39"/>
              <w:spacing w:before="0" w:after="0" w:line="240" w:lineRule="atLeast"/>
              <w:ind w:firstLine="420"/>
              <w:rPr>
                <w:rFonts w:ascii="宋体" w:hAnsi="宋体" w:eastAsia="宋体"/>
                <w:sz w:val="21"/>
                <w:szCs w:val="21"/>
              </w:rPr>
            </w:pPr>
            <w:r>
              <w:rPr>
                <w:rFonts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7" w:hRule="atLeast"/>
          <w:jc w:val="center"/>
        </w:trPr>
        <w:tc>
          <w:tcPr>
            <w:tcW w:w="532" w:type="dxa"/>
            <w:vMerge w:val="restart"/>
            <w:vAlign w:val="center"/>
          </w:tcPr>
          <w:p>
            <w:pPr>
              <w:spacing w:line="240" w:lineRule="atLeast"/>
              <w:jc w:val="center"/>
              <w:rPr>
                <w:rFonts w:ascii="宋体" w:hAnsi="宋体"/>
                <w:szCs w:val="21"/>
              </w:rPr>
            </w:pPr>
            <w:r>
              <w:rPr>
                <w:rFonts w:ascii="宋体" w:hAnsi="宋体"/>
                <w:szCs w:val="21"/>
              </w:rPr>
              <w:t>1</w:t>
            </w:r>
          </w:p>
        </w:tc>
        <w:tc>
          <w:tcPr>
            <w:tcW w:w="991" w:type="dxa"/>
            <w:vMerge w:val="restart"/>
            <w:vAlign w:val="center"/>
          </w:tcPr>
          <w:p>
            <w:pPr>
              <w:spacing w:line="240" w:lineRule="atLeast"/>
              <w:ind w:firstLine="28"/>
              <w:jc w:val="center"/>
              <w:rPr>
                <w:rFonts w:ascii="宋体" w:hAnsi="宋体"/>
                <w:szCs w:val="21"/>
              </w:rPr>
            </w:pPr>
            <w:r>
              <w:rPr>
                <w:rFonts w:hint="eastAsia" w:ascii="宋体" w:hAnsi="宋体"/>
                <w:szCs w:val="21"/>
              </w:rPr>
              <w:t>技术部分（8</w:t>
            </w:r>
            <w:r>
              <w:rPr>
                <w:rFonts w:ascii="宋体" w:hAnsi="宋体"/>
                <w:szCs w:val="21"/>
              </w:rPr>
              <w:t>0</w:t>
            </w:r>
            <w:r>
              <w:rPr>
                <w:rFonts w:hint="eastAsia" w:ascii="宋体" w:hAnsi="宋体"/>
                <w:szCs w:val="21"/>
              </w:rPr>
              <w:t>%）</w:t>
            </w:r>
          </w:p>
        </w:tc>
        <w:tc>
          <w:tcPr>
            <w:tcW w:w="1136" w:type="dxa"/>
            <w:vAlign w:val="center"/>
          </w:tcPr>
          <w:p>
            <w:pPr>
              <w:spacing w:line="240" w:lineRule="atLeast"/>
              <w:jc w:val="center"/>
              <w:rPr>
                <w:rFonts w:ascii="宋体" w:hAnsi="宋体"/>
                <w:szCs w:val="21"/>
              </w:rPr>
            </w:pPr>
            <w:r>
              <w:rPr>
                <w:rFonts w:hint="eastAsia" w:ascii="宋体" w:hAnsi="宋体" w:cs="宋体"/>
                <w:color w:val="000000"/>
                <w:kern w:val="0"/>
                <w:szCs w:val="21"/>
                <w:lang w:bidi="ar"/>
              </w:rPr>
              <w:t>产品先进性（15%）</w:t>
            </w:r>
          </w:p>
        </w:tc>
        <w:tc>
          <w:tcPr>
            <w:tcW w:w="568" w:type="dxa"/>
            <w:vAlign w:val="center"/>
          </w:tcPr>
          <w:p>
            <w:pPr>
              <w:spacing w:line="240" w:lineRule="atLeast"/>
              <w:ind w:firstLine="28"/>
              <w:jc w:val="center"/>
              <w:rPr>
                <w:rFonts w:ascii="宋体" w:hAnsi="宋体"/>
                <w:szCs w:val="21"/>
              </w:rPr>
            </w:pPr>
            <w:r>
              <w:rPr>
                <w:rFonts w:ascii="宋体" w:hAnsi="宋体"/>
                <w:szCs w:val="21"/>
              </w:rPr>
              <w:t>15</w:t>
            </w:r>
          </w:p>
        </w:tc>
        <w:tc>
          <w:tcPr>
            <w:tcW w:w="4252" w:type="dxa"/>
            <w:vAlign w:val="center"/>
          </w:tcPr>
          <w:p>
            <w:pPr>
              <w:widowControl/>
              <w:textAlignment w:val="center"/>
              <w:rPr>
                <w:rFonts w:ascii="宋体" w:hAnsi="宋体"/>
                <w:szCs w:val="21"/>
              </w:rPr>
            </w:pPr>
            <w:r>
              <w:rPr>
                <w:rFonts w:hint="eastAsia" w:ascii="宋体" w:hAnsi="宋体"/>
                <w:szCs w:val="21"/>
              </w:rPr>
              <w:t>1.系统总体架构:支持平台与客户、供应商供应链一体化，资金、订单、物流、发票四流合一；</w:t>
            </w:r>
          </w:p>
          <w:p>
            <w:pPr>
              <w:widowControl/>
              <w:textAlignment w:val="center"/>
              <w:rPr>
                <w:rFonts w:ascii="宋体" w:hAnsi="宋体"/>
                <w:szCs w:val="21"/>
              </w:rPr>
            </w:pPr>
            <w:r>
              <w:rPr>
                <w:rFonts w:ascii="宋体" w:hAnsi="宋体"/>
                <w:szCs w:val="21"/>
              </w:rPr>
              <w:t>2</w:t>
            </w:r>
            <w:r>
              <w:rPr>
                <w:rFonts w:hint="eastAsia" w:ascii="宋体" w:hAnsi="宋体"/>
                <w:szCs w:val="21"/>
              </w:rPr>
              <w:t>.业务覆盖：人、财、物全面覆盖，财务业务一体化；</w:t>
            </w:r>
          </w:p>
          <w:p>
            <w:pPr>
              <w:widowControl/>
              <w:textAlignment w:val="center"/>
              <w:rPr>
                <w:rFonts w:ascii="宋体" w:hAnsi="宋体"/>
                <w:szCs w:val="21"/>
              </w:rPr>
            </w:pPr>
            <w:r>
              <w:rPr>
                <w:rFonts w:ascii="宋体" w:hAnsi="宋体"/>
                <w:szCs w:val="21"/>
              </w:rPr>
              <w:t>3</w:t>
            </w:r>
            <w:r>
              <w:rPr>
                <w:rFonts w:hint="eastAsia" w:ascii="宋体" w:hAnsi="宋体"/>
                <w:szCs w:val="21"/>
              </w:rPr>
              <w:t>.营销方面：各种营销渠道，统一营销管理，统一会员管理，线上线下一体化；</w:t>
            </w:r>
          </w:p>
          <w:p>
            <w:pPr>
              <w:widowControl/>
              <w:textAlignment w:val="center"/>
              <w:rPr>
                <w:rFonts w:ascii="宋体" w:hAnsi="宋体"/>
                <w:szCs w:val="21"/>
              </w:rPr>
            </w:pPr>
            <w:r>
              <w:rPr>
                <w:rFonts w:hint="eastAsia" w:ascii="宋体" w:hAnsi="宋体"/>
                <w:szCs w:val="21"/>
              </w:rPr>
              <w:t>4.系统集成：支持与集团公司NC财务系统对接；</w:t>
            </w:r>
          </w:p>
        </w:tc>
        <w:tc>
          <w:tcPr>
            <w:tcW w:w="2257" w:type="dxa"/>
            <w:vAlign w:val="center"/>
          </w:tcPr>
          <w:p>
            <w:pPr>
              <w:spacing w:line="240" w:lineRule="atLeast"/>
              <w:ind w:left="-38"/>
              <w:rPr>
                <w:rFonts w:ascii="宋体" w:hAnsi="宋体"/>
                <w:szCs w:val="21"/>
              </w:rPr>
            </w:pPr>
            <w:r>
              <w:rPr>
                <w:rFonts w:hint="eastAsia" w:ascii="宋体" w:hAnsi="宋体"/>
                <w:szCs w:val="21"/>
              </w:rPr>
              <w:t>根据投标人提供的方案进行横向比较打分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532" w:type="dxa"/>
            <w:vMerge w:val="continue"/>
            <w:vAlign w:val="center"/>
          </w:tcPr>
          <w:p>
            <w:pPr>
              <w:spacing w:line="240" w:lineRule="atLeast"/>
              <w:ind w:firstLine="28"/>
              <w:jc w:val="center"/>
              <w:rPr>
                <w:rFonts w:ascii="宋体" w:hAnsi="宋体"/>
                <w:szCs w:val="21"/>
              </w:rPr>
            </w:pPr>
          </w:p>
        </w:tc>
        <w:tc>
          <w:tcPr>
            <w:tcW w:w="991" w:type="dxa"/>
            <w:vMerge w:val="continue"/>
            <w:vAlign w:val="center"/>
          </w:tcPr>
          <w:p>
            <w:pPr>
              <w:spacing w:line="240" w:lineRule="atLeast"/>
              <w:ind w:firstLine="28"/>
              <w:jc w:val="center"/>
              <w:rPr>
                <w:rFonts w:ascii="宋体" w:hAnsi="宋体"/>
                <w:szCs w:val="21"/>
              </w:rPr>
            </w:pPr>
          </w:p>
        </w:tc>
        <w:tc>
          <w:tcPr>
            <w:tcW w:w="1136" w:type="dxa"/>
            <w:vAlign w:val="center"/>
          </w:tcPr>
          <w:p>
            <w:pPr>
              <w:spacing w:line="240" w:lineRule="atLeast"/>
              <w:ind w:firstLine="28"/>
              <w:jc w:val="center"/>
              <w:rPr>
                <w:rFonts w:ascii="宋体" w:hAnsi="宋体"/>
                <w:szCs w:val="21"/>
              </w:rPr>
            </w:pPr>
            <w:r>
              <w:rPr>
                <w:rFonts w:hint="eastAsia" w:ascii="宋体" w:hAnsi="宋体" w:cs="宋体"/>
                <w:color w:val="000000"/>
                <w:kern w:val="0"/>
                <w:sz w:val="22"/>
                <w:szCs w:val="22"/>
                <w:lang w:bidi="ar"/>
              </w:rPr>
              <w:t>对农投良品需求的分析（35%）</w:t>
            </w:r>
          </w:p>
        </w:tc>
        <w:tc>
          <w:tcPr>
            <w:tcW w:w="568" w:type="dxa"/>
            <w:vAlign w:val="center"/>
          </w:tcPr>
          <w:p>
            <w:pPr>
              <w:spacing w:line="240" w:lineRule="atLeast"/>
              <w:ind w:firstLine="28"/>
              <w:jc w:val="center"/>
              <w:rPr>
                <w:rFonts w:ascii="宋体" w:hAnsi="宋体"/>
                <w:szCs w:val="21"/>
              </w:rPr>
            </w:pPr>
            <w:r>
              <w:rPr>
                <w:rFonts w:ascii="宋体" w:hAnsi="宋体"/>
                <w:szCs w:val="21"/>
              </w:rPr>
              <w:t>3</w:t>
            </w:r>
            <w:r>
              <w:rPr>
                <w:rFonts w:hint="eastAsia" w:ascii="宋体" w:hAnsi="宋体"/>
                <w:szCs w:val="21"/>
              </w:rPr>
              <w:t>5</w:t>
            </w:r>
          </w:p>
        </w:tc>
        <w:tc>
          <w:tcPr>
            <w:tcW w:w="4252" w:type="dxa"/>
            <w:vAlign w:val="center"/>
          </w:tcPr>
          <w:p>
            <w:pPr>
              <w:widowControl/>
              <w:textAlignment w:val="center"/>
              <w:rPr>
                <w:rFonts w:ascii="宋体" w:hAnsi="宋体"/>
                <w:szCs w:val="21"/>
              </w:rPr>
            </w:pPr>
            <w:r>
              <w:rPr>
                <w:rFonts w:hint="eastAsia" w:ascii="宋体" w:hAnsi="宋体"/>
                <w:szCs w:val="21"/>
              </w:rPr>
              <w:t>1、能够准确理解农投良品的经营业务；方案贴合公司实际业务（16分）</w:t>
            </w:r>
          </w:p>
          <w:p>
            <w:pPr>
              <w:widowControl/>
              <w:textAlignment w:val="center"/>
              <w:rPr>
                <w:rFonts w:ascii="宋体" w:hAnsi="宋体"/>
                <w:szCs w:val="21"/>
              </w:rPr>
            </w:pPr>
            <w:r>
              <w:rPr>
                <w:rFonts w:hint="eastAsia" w:ascii="宋体" w:hAnsi="宋体"/>
                <w:szCs w:val="21"/>
              </w:rPr>
              <w:t>2.提供的解决方案足以支撑现有业务；（5分）</w:t>
            </w:r>
          </w:p>
          <w:p>
            <w:pPr>
              <w:widowControl/>
              <w:rPr>
                <w:rFonts w:ascii="宋体" w:hAnsi="宋体" w:cs="宋体"/>
                <w:color w:val="000000"/>
                <w:kern w:val="0"/>
                <w:szCs w:val="21"/>
                <w:lang w:bidi="ar"/>
              </w:rPr>
            </w:pPr>
            <w:r>
              <w:rPr>
                <w:rFonts w:hint="eastAsia" w:ascii="宋体" w:hAnsi="宋体" w:cs="宋体"/>
                <w:color w:val="000000"/>
                <w:kern w:val="0"/>
                <w:szCs w:val="21"/>
                <w:lang w:bidi="ar"/>
              </w:rPr>
              <w:t>3.解决方案能够支撑未来至少5年的业务拓展；</w:t>
            </w:r>
            <w:r>
              <w:rPr>
                <w:rFonts w:hint="eastAsia" w:ascii="宋体" w:hAnsi="宋体"/>
                <w:szCs w:val="21"/>
              </w:rPr>
              <w:t>（5分）</w:t>
            </w:r>
          </w:p>
          <w:p>
            <w:pPr>
              <w:widowControl/>
              <w:rPr>
                <w:rFonts w:ascii="宋体" w:hAnsi="宋体"/>
                <w:szCs w:val="21"/>
              </w:rPr>
            </w:pPr>
            <w:r>
              <w:rPr>
                <w:rFonts w:hint="eastAsia" w:ascii="宋体" w:hAnsi="宋体" w:cs="宋体"/>
                <w:color w:val="000000"/>
                <w:kern w:val="0"/>
                <w:szCs w:val="21"/>
                <w:lang w:bidi="ar"/>
              </w:rPr>
              <w:t>4.厂商能够提供的管理与流程设计方案；系统要稳定可靠，便与操作</w:t>
            </w:r>
            <w:r>
              <w:rPr>
                <w:rFonts w:hint="eastAsia" w:ascii="宋体" w:hAnsi="宋体"/>
                <w:szCs w:val="21"/>
              </w:rPr>
              <w:t>（5分）</w:t>
            </w:r>
          </w:p>
          <w:p>
            <w:pPr>
              <w:widowControl/>
              <w:rPr>
                <w:rFonts w:ascii="宋体" w:hAnsi="宋体"/>
                <w:szCs w:val="21"/>
              </w:rPr>
            </w:pPr>
            <w:r>
              <w:rPr>
                <w:rFonts w:hint="eastAsia" w:ascii="宋体" w:hAnsi="宋体"/>
                <w:szCs w:val="21"/>
              </w:rPr>
              <w:t>5、软件平台的数据集成高效准确无误，软件的模块功能能够与农投良品的需求契合达到95%以上，且功能操作简单易行。（4分）</w:t>
            </w:r>
          </w:p>
        </w:tc>
        <w:tc>
          <w:tcPr>
            <w:tcW w:w="2257" w:type="dxa"/>
            <w:vAlign w:val="center"/>
          </w:tcPr>
          <w:p>
            <w:pPr>
              <w:spacing w:line="240" w:lineRule="atLeast"/>
              <w:ind w:left="-38"/>
              <w:rPr>
                <w:rFonts w:ascii="宋体" w:hAnsi="宋体"/>
                <w:szCs w:val="21"/>
              </w:rPr>
            </w:pPr>
            <w:r>
              <w:rPr>
                <w:rFonts w:hint="eastAsia" w:ascii="宋体" w:hAnsi="宋体"/>
                <w:szCs w:val="21"/>
              </w:rPr>
              <w:t>0</w:t>
            </w:r>
            <w:r>
              <w:rPr>
                <w:rFonts w:ascii="宋体" w:hAnsi="宋体"/>
                <w:szCs w:val="21"/>
              </w:rPr>
              <w:t>-3</w:t>
            </w: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532" w:type="dxa"/>
            <w:vMerge w:val="continue"/>
            <w:vAlign w:val="center"/>
          </w:tcPr>
          <w:p>
            <w:pPr>
              <w:spacing w:line="240" w:lineRule="atLeast"/>
              <w:ind w:firstLine="28"/>
              <w:jc w:val="center"/>
              <w:rPr>
                <w:rFonts w:ascii="宋体" w:hAnsi="宋体"/>
                <w:szCs w:val="21"/>
              </w:rPr>
            </w:pPr>
          </w:p>
        </w:tc>
        <w:tc>
          <w:tcPr>
            <w:tcW w:w="991" w:type="dxa"/>
            <w:vMerge w:val="continue"/>
            <w:vAlign w:val="center"/>
          </w:tcPr>
          <w:p>
            <w:pPr>
              <w:spacing w:line="240" w:lineRule="atLeast"/>
              <w:ind w:firstLine="28"/>
              <w:jc w:val="center"/>
              <w:rPr>
                <w:rFonts w:ascii="宋体" w:hAnsi="宋体"/>
                <w:szCs w:val="21"/>
              </w:rPr>
            </w:pPr>
          </w:p>
        </w:tc>
        <w:tc>
          <w:tcPr>
            <w:tcW w:w="1136" w:type="dxa"/>
            <w:vAlign w:val="center"/>
          </w:tcPr>
          <w:p>
            <w:pPr>
              <w:spacing w:line="240" w:lineRule="atLeast"/>
              <w:ind w:firstLine="28"/>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实施经验及能力（15%）</w:t>
            </w:r>
          </w:p>
        </w:tc>
        <w:tc>
          <w:tcPr>
            <w:tcW w:w="568" w:type="dxa"/>
            <w:vAlign w:val="center"/>
          </w:tcPr>
          <w:p>
            <w:pPr>
              <w:spacing w:line="240" w:lineRule="atLeast"/>
              <w:ind w:firstLine="28"/>
              <w:jc w:val="center"/>
              <w:rPr>
                <w:rFonts w:ascii="宋体" w:hAnsi="宋体"/>
                <w:szCs w:val="21"/>
              </w:rPr>
            </w:pPr>
            <w:r>
              <w:rPr>
                <w:rFonts w:ascii="宋体" w:hAnsi="宋体"/>
                <w:szCs w:val="21"/>
              </w:rPr>
              <w:t>1</w:t>
            </w:r>
            <w:r>
              <w:rPr>
                <w:rFonts w:hint="eastAsia" w:ascii="宋体" w:hAnsi="宋体"/>
                <w:szCs w:val="21"/>
              </w:rPr>
              <w:t>5</w:t>
            </w:r>
          </w:p>
        </w:tc>
        <w:tc>
          <w:tcPr>
            <w:tcW w:w="4252" w:type="dxa"/>
            <w:vAlign w:val="center"/>
          </w:tcPr>
          <w:p>
            <w:pPr>
              <w:spacing w:line="240" w:lineRule="atLeast"/>
              <w:rPr>
                <w:rFonts w:ascii="宋体" w:hAnsi="宋体" w:cs="宋体"/>
                <w:color w:val="000000"/>
                <w:kern w:val="0"/>
                <w:szCs w:val="21"/>
                <w:lang w:bidi="ar"/>
              </w:rPr>
            </w:pPr>
            <w:r>
              <w:rPr>
                <w:rFonts w:hint="eastAsia" w:ascii="宋体" w:hAnsi="宋体" w:cs="宋体"/>
                <w:color w:val="000000"/>
                <w:kern w:val="0"/>
                <w:szCs w:val="21"/>
                <w:lang w:bidi="ar"/>
              </w:rPr>
              <w:t>1、投标人根据招标文件要求及拟服务企业现状，制定详细的实施流程方案；根据质量目标，制定科学、合理的目标保障方案。根据投标人的方案横向比较打分，优得15分，较好得12分，良得8分，一般得4分，差或未提供得0分；</w:t>
            </w:r>
          </w:p>
          <w:p>
            <w:pPr>
              <w:spacing w:line="240" w:lineRule="atLeast"/>
              <w:rPr>
                <w:rFonts w:ascii="宋体" w:hAnsi="宋体" w:cs="宋体"/>
                <w:color w:val="000000"/>
                <w:kern w:val="0"/>
                <w:szCs w:val="21"/>
                <w:lang w:bidi="ar"/>
              </w:rPr>
            </w:pPr>
            <w:r>
              <w:rPr>
                <w:rFonts w:hint="eastAsia" w:ascii="宋体" w:hAnsi="宋体" w:cs="宋体"/>
                <w:color w:val="000000"/>
                <w:kern w:val="0"/>
                <w:szCs w:val="21"/>
                <w:highlight w:val="yellow"/>
                <w:lang w:bidi="ar"/>
              </w:rPr>
              <w:t>2、能够提供基础试用一个星期以上的，可加1分</w:t>
            </w:r>
          </w:p>
        </w:tc>
        <w:tc>
          <w:tcPr>
            <w:tcW w:w="2257" w:type="dxa"/>
            <w:vAlign w:val="center"/>
          </w:tcPr>
          <w:p>
            <w:pPr>
              <w:spacing w:line="240" w:lineRule="atLeast"/>
              <w:ind w:left="-38"/>
              <w:rPr>
                <w:rFonts w:ascii="宋体" w:hAnsi="宋体"/>
                <w:szCs w:val="21"/>
              </w:rPr>
            </w:pPr>
            <w:r>
              <w:rPr>
                <w:rFonts w:hint="eastAsia" w:ascii="宋体" w:hAnsi="宋体"/>
                <w:szCs w:val="21"/>
              </w:rPr>
              <w:t>0</w:t>
            </w:r>
            <w:r>
              <w:rPr>
                <w:rFonts w:ascii="宋体" w:hAnsi="宋体"/>
                <w:szCs w:val="21"/>
              </w:rPr>
              <w:t>-1</w:t>
            </w: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532" w:type="dxa"/>
            <w:vMerge w:val="continue"/>
            <w:vAlign w:val="center"/>
          </w:tcPr>
          <w:p>
            <w:pPr>
              <w:spacing w:line="240" w:lineRule="atLeast"/>
              <w:ind w:firstLine="28"/>
              <w:jc w:val="center"/>
              <w:rPr>
                <w:rFonts w:ascii="宋体" w:hAnsi="宋体"/>
                <w:szCs w:val="21"/>
              </w:rPr>
            </w:pPr>
          </w:p>
        </w:tc>
        <w:tc>
          <w:tcPr>
            <w:tcW w:w="991" w:type="dxa"/>
            <w:vMerge w:val="continue"/>
            <w:vAlign w:val="center"/>
          </w:tcPr>
          <w:p>
            <w:pPr>
              <w:spacing w:line="240" w:lineRule="atLeast"/>
              <w:ind w:firstLine="28"/>
              <w:jc w:val="center"/>
              <w:rPr>
                <w:rFonts w:ascii="宋体" w:hAnsi="宋体"/>
                <w:szCs w:val="21"/>
              </w:rPr>
            </w:pPr>
          </w:p>
        </w:tc>
        <w:tc>
          <w:tcPr>
            <w:tcW w:w="1136" w:type="dxa"/>
            <w:vAlign w:val="center"/>
          </w:tcPr>
          <w:p>
            <w:pPr>
              <w:spacing w:line="240" w:lineRule="atLeast"/>
              <w:ind w:firstLine="28"/>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售后服务</w:t>
            </w:r>
          </w:p>
          <w:p>
            <w:pPr>
              <w:spacing w:line="240" w:lineRule="atLeast"/>
              <w:ind w:firstLine="28"/>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568" w:type="dxa"/>
            <w:vAlign w:val="center"/>
          </w:tcPr>
          <w:p>
            <w:pPr>
              <w:spacing w:line="240" w:lineRule="atLeast"/>
              <w:ind w:firstLine="28"/>
              <w:jc w:val="center"/>
              <w:rPr>
                <w:rFonts w:ascii="宋体" w:hAnsi="宋体"/>
                <w:szCs w:val="21"/>
              </w:rPr>
            </w:pPr>
            <w:r>
              <w:rPr>
                <w:rFonts w:hint="eastAsia" w:ascii="宋体" w:hAnsi="宋体"/>
                <w:szCs w:val="21"/>
              </w:rPr>
              <w:t>15</w:t>
            </w:r>
          </w:p>
        </w:tc>
        <w:tc>
          <w:tcPr>
            <w:tcW w:w="4252" w:type="dxa"/>
            <w:vAlign w:val="center"/>
          </w:tcPr>
          <w:p>
            <w:pPr>
              <w:spacing w:line="240" w:lineRule="atLeast"/>
              <w:rPr>
                <w:rFonts w:ascii="宋体" w:hAnsi="宋体" w:cs="宋体"/>
                <w:color w:val="000000"/>
                <w:kern w:val="0"/>
                <w:szCs w:val="21"/>
                <w:lang w:bidi="ar"/>
              </w:rPr>
            </w:pPr>
            <w:r>
              <w:rPr>
                <w:rFonts w:hint="eastAsia" w:ascii="宋体" w:hAnsi="宋体" w:cs="宋体"/>
                <w:color w:val="000000"/>
                <w:kern w:val="0"/>
                <w:szCs w:val="21"/>
                <w:lang w:bidi="ar"/>
              </w:rPr>
              <w:t>1、具有完善的售后服务体系，能够提供满足要求的售后服务。售后服务响应迅速、技术支持方式多样、在重庆有售后专业服务点或分公司有效满足我司需求。</w:t>
            </w:r>
          </w:p>
          <w:p>
            <w:pPr>
              <w:spacing w:line="240" w:lineRule="atLeast"/>
              <w:rPr>
                <w:rFonts w:ascii="宋体" w:hAnsi="宋体" w:cs="宋体"/>
                <w:color w:val="000000"/>
                <w:kern w:val="0"/>
                <w:szCs w:val="21"/>
                <w:lang w:bidi="ar"/>
              </w:rPr>
            </w:pPr>
            <w:r>
              <w:rPr>
                <w:rFonts w:hint="eastAsia" w:ascii="宋体" w:hAnsi="宋体" w:cs="宋体"/>
                <w:color w:val="000000"/>
                <w:kern w:val="0"/>
                <w:szCs w:val="21"/>
                <w:lang w:bidi="ar"/>
              </w:rPr>
              <w:t>2、是否免费提供2年以上的售后服务。结合按实际提供免费的情况进行评分，免费多的分高。（按年数给分）</w:t>
            </w:r>
            <w:r>
              <w:rPr>
                <w:rFonts w:ascii="宋体" w:hAnsi="宋体" w:cs="宋体"/>
                <w:color w:val="000000"/>
                <w:kern w:val="0"/>
                <w:szCs w:val="21"/>
                <w:lang w:bidi="ar"/>
              </w:rPr>
              <w:t xml:space="preserve"> </w:t>
            </w:r>
          </w:p>
          <w:p>
            <w:pPr>
              <w:spacing w:line="240" w:lineRule="atLeast"/>
              <w:rPr>
                <w:rFonts w:ascii="宋体" w:hAnsi="宋体" w:cs="宋体"/>
                <w:color w:val="000000"/>
                <w:kern w:val="0"/>
                <w:szCs w:val="21"/>
                <w:lang w:bidi="ar"/>
              </w:rPr>
            </w:pPr>
            <w:r>
              <w:rPr>
                <w:rFonts w:hint="eastAsia" w:ascii="宋体" w:hAnsi="宋体" w:cs="宋体"/>
                <w:color w:val="000000"/>
                <w:kern w:val="0"/>
                <w:szCs w:val="21"/>
                <w:lang w:bidi="ar"/>
              </w:rPr>
              <w:t>3、是否提供5次以上免费升级的售后服务。结合按实际提供免费的情况进行评分，免费多的分高。（按次数给分）</w:t>
            </w:r>
            <w:r>
              <w:rPr>
                <w:rFonts w:ascii="宋体" w:hAnsi="宋体" w:cs="宋体"/>
                <w:color w:val="000000"/>
                <w:kern w:val="0"/>
                <w:szCs w:val="21"/>
                <w:lang w:bidi="ar"/>
              </w:rPr>
              <w:t xml:space="preserve"> </w:t>
            </w:r>
          </w:p>
        </w:tc>
        <w:tc>
          <w:tcPr>
            <w:tcW w:w="2257" w:type="dxa"/>
            <w:vAlign w:val="center"/>
          </w:tcPr>
          <w:p>
            <w:pPr>
              <w:spacing w:line="240" w:lineRule="atLeast"/>
              <w:ind w:left="-38"/>
              <w:rPr>
                <w:rFonts w:ascii="宋体" w:hAnsi="宋体"/>
                <w:szCs w:val="21"/>
              </w:rPr>
            </w:pPr>
            <w:r>
              <w:rPr>
                <w:rFonts w:ascii="宋体" w:hAnsi="宋体"/>
                <w:szCs w:val="21"/>
              </w:rPr>
              <w:t>0-</w:t>
            </w:r>
            <w:r>
              <w:rPr>
                <w:rFonts w:hint="eastAsia" w:ascii="宋体" w:hAnsi="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532" w:type="dxa"/>
            <w:vMerge w:val="restart"/>
            <w:vAlign w:val="center"/>
          </w:tcPr>
          <w:p>
            <w:pPr>
              <w:spacing w:line="240" w:lineRule="atLeast"/>
              <w:ind w:firstLine="28"/>
              <w:jc w:val="center"/>
              <w:rPr>
                <w:rFonts w:ascii="宋体" w:hAnsi="宋体"/>
                <w:szCs w:val="21"/>
              </w:rPr>
            </w:pPr>
            <w:r>
              <w:rPr>
                <w:rFonts w:hint="eastAsia" w:ascii="宋体" w:hAnsi="宋体"/>
                <w:szCs w:val="21"/>
              </w:rPr>
              <w:t>3</w:t>
            </w:r>
          </w:p>
        </w:tc>
        <w:tc>
          <w:tcPr>
            <w:tcW w:w="991" w:type="dxa"/>
            <w:vMerge w:val="restart"/>
            <w:vAlign w:val="center"/>
          </w:tcPr>
          <w:p>
            <w:pPr>
              <w:spacing w:line="240" w:lineRule="atLeast"/>
              <w:ind w:firstLine="28"/>
              <w:jc w:val="left"/>
              <w:rPr>
                <w:rFonts w:ascii="宋体" w:hAnsi="宋体"/>
                <w:szCs w:val="21"/>
              </w:rPr>
            </w:pPr>
            <w:r>
              <w:rPr>
                <w:rFonts w:hint="eastAsia" w:ascii="宋体" w:hAnsi="宋体"/>
                <w:szCs w:val="21"/>
              </w:rPr>
              <w:t>商务部分（2</w:t>
            </w:r>
            <w:r>
              <w:rPr>
                <w:rFonts w:ascii="宋体" w:hAnsi="宋体"/>
                <w:szCs w:val="21"/>
              </w:rPr>
              <w:t>0</w:t>
            </w:r>
            <w:r>
              <w:rPr>
                <w:rFonts w:hint="eastAsia" w:ascii="宋体" w:hAnsi="宋体"/>
                <w:szCs w:val="21"/>
              </w:rPr>
              <w:t>%）</w:t>
            </w:r>
          </w:p>
        </w:tc>
        <w:tc>
          <w:tcPr>
            <w:tcW w:w="1136" w:type="dxa"/>
            <w:tcBorders>
              <w:bottom w:val="single" w:color="auto" w:sz="4" w:space="0"/>
            </w:tcBorders>
            <w:vAlign w:val="center"/>
          </w:tcPr>
          <w:p>
            <w:pPr>
              <w:spacing w:line="240" w:lineRule="atLeast"/>
              <w:ind w:firstLine="28"/>
              <w:jc w:val="center"/>
              <w:rPr>
                <w:rFonts w:ascii="宋体" w:hAnsi="宋体"/>
                <w:szCs w:val="21"/>
              </w:rPr>
            </w:pPr>
            <w:r>
              <w:rPr>
                <w:rFonts w:hint="eastAsia" w:ascii="宋体" w:hAnsi="宋体"/>
                <w:szCs w:val="21"/>
              </w:rPr>
              <w:t>企业实力（</w:t>
            </w:r>
            <w:r>
              <w:rPr>
                <w:rFonts w:ascii="宋体" w:hAnsi="宋体"/>
                <w:szCs w:val="21"/>
              </w:rPr>
              <w:t>5</w:t>
            </w:r>
            <w:r>
              <w:rPr>
                <w:rFonts w:hint="eastAsia" w:ascii="宋体" w:hAnsi="宋体"/>
                <w:szCs w:val="21"/>
              </w:rPr>
              <w:t>%）</w:t>
            </w:r>
          </w:p>
        </w:tc>
        <w:tc>
          <w:tcPr>
            <w:tcW w:w="568" w:type="dxa"/>
            <w:tcBorders>
              <w:bottom w:val="single" w:color="auto" w:sz="4" w:space="0"/>
            </w:tcBorders>
            <w:vAlign w:val="center"/>
          </w:tcPr>
          <w:p>
            <w:pPr>
              <w:spacing w:line="240" w:lineRule="atLeast"/>
              <w:ind w:firstLine="28"/>
              <w:jc w:val="center"/>
              <w:rPr>
                <w:rFonts w:ascii="宋体" w:hAnsi="宋体" w:cs="宋体"/>
                <w:color w:val="000000"/>
                <w:kern w:val="0"/>
                <w:szCs w:val="21"/>
                <w:lang w:bidi="ar"/>
              </w:rPr>
            </w:pPr>
            <w:r>
              <w:rPr>
                <w:rFonts w:ascii="宋体" w:hAnsi="宋体" w:cs="宋体"/>
                <w:color w:val="000000"/>
                <w:kern w:val="0"/>
                <w:szCs w:val="21"/>
                <w:lang w:bidi="ar"/>
              </w:rPr>
              <w:t>5</w:t>
            </w:r>
          </w:p>
        </w:tc>
        <w:tc>
          <w:tcPr>
            <w:tcW w:w="4252" w:type="dxa"/>
            <w:vAlign w:val="center"/>
          </w:tcPr>
          <w:p>
            <w:pPr>
              <w:widowControl/>
              <w:rPr>
                <w:rFonts w:ascii="宋体" w:hAnsi="宋体" w:cs="宋体"/>
                <w:color w:val="000000"/>
                <w:kern w:val="0"/>
                <w:szCs w:val="21"/>
                <w:lang w:bidi="ar"/>
              </w:rPr>
            </w:pPr>
            <w:r>
              <w:rPr>
                <w:rFonts w:hint="eastAsia" w:ascii="宋体" w:hAnsi="宋体" w:cs="宋体"/>
                <w:color w:val="000000"/>
                <w:kern w:val="0"/>
                <w:szCs w:val="21"/>
                <w:lang w:bidi="ar"/>
              </w:rPr>
              <w:t>1.投标人企业注册资金（100万以下为0，100万及以上2分）；</w:t>
            </w:r>
          </w:p>
          <w:p>
            <w:pPr>
              <w:widowControl/>
              <w:rPr>
                <w:rFonts w:ascii="宋体" w:hAnsi="宋体" w:cs="宋体"/>
                <w:color w:val="000000"/>
                <w:kern w:val="0"/>
                <w:szCs w:val="21"/>
                <w:lang w:bidi="ar"/>
              </w:rPr>
            </w:pPr>
            <w:r>
              <w:rPr>
                <w:rFonts w:hint="eastAsia" w:ascii="宋体" w:hAnsi="宋体" w:cs="宋体"/>
                <w:color w:val="000000"/>
                <w:kern w:val="0"/>
                <w:szCs w:val="21"/>
                <w:lang w:bidi="ar"/>
              </w:rPr>
              <w:t>2.企业规模20人以下本项0分：其中，重庆有本地化总部或分公司，总人数少于20人（0分），20-25人（1分），25-30人（2分）30以上（3分）。</w:t>
            </w:r>
          </w:p>
        </w:tc>
        <w:tc>
          <w:tcPr>
            <w:tcW w:w="2257" w:type="dxa"/>
            <w:tcBorders>
              <w:bottom w:val="single" w:color="auto"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0</w:t>
            </w:r>
            <w:r>
              <w:rPr>
                <w:rFonts w:ascii="宋体" w:hAnsi="宋体" w:cs="宋体"/>
                <w:color w:val="000000"/>
                <w:szCs w:val="21"/>
              </w:rPr>
              <w:t>-5</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32" w:type="dxa"/>
            <w:vMerge w:val="continue"/>
            <w:vAlign w:val="center"/>
          </w:tcPr>
          <w:p>
            <w:pPr>
              <w:spacing w:line="240" w:lineRule="atLeast"/>
              <w:ind w:firstLine="28"/>
              <w:jc w:val="center"/>
              <w:rPr>
                <w:rFonts w:ascii="宋体" w:hAnsi="宋体"/>
                <w:szCs w:val="21"/>
              </w:rPr>
            </w:pPr>
          </w:p>
        </w:tc>
        <w:tc>
          <w:tcPr>
            <w:tcW w:w="991" w:type="dxa"/>
            <w:vMerge w:val="continue"/>
            <w:vAlign w:val="center"/>
          </w:tcPr>
          <w:p>
            <w:pPr>
              <w:spacing w:line="240" w:lineRule="atLeast"/>
              <w:ind w:firstLine="28"/>
              <w:jc w:val="center"/>
              <w:rPr>
                <w:rFonts w:ascii="宋体" w:hAnsi="宋体"/>
                <w:szCs w:val="21"/>
              </w:rPr>
            </w:pPr>
          </w:p>
        </w:tc>
        <w:tc>
          <w:tcPr>
            <w:tcW w:w="1136" w:type="dxa"/>
            <w:vAlign w:val="center"/>
          </w:tcPr>
          <w:p>
            <w:pPr>
              <w:spacing w:line="240" w:lineRule="atLeast"/>
              <w:ind w:firstLine="28"/>
              <w:rPr>
                <w:rFonts w:ascii="宋体" w:hAnsi="宋体"/>
                <w:szCs w:val="21"/>
              </w:rPr>
            </w:pPr>
            <w:r>
              <w:rPr>
                <w:rFonts w:hint="eastAsia" w:ascii="宋体" w:hAnsi="宋体"/>
                <w:szCs w:val="21"/>
              </w:rPr>
              <w:t>平台报价（10%）</w:t>
            </w:r>
          </w:p>
        </w:tc>
        <w:tc>
          <w:tcPr>
            <w:tcW w:w="568" w:type="dxa"/>
            <w:vAlign w:val="center"/>
          </w:tcPr>
          <w:p>
            <w:pPr>
              <w:spacing w:line="240" w:lineRule="atLeast"/>
              <w:ind w:firstLine="28"/>
              <w:jc w:val="center"/>
              <w:rPr>
                <w:rFonts w:ascii="宋体" w:hAnsi="宋体"/>
                <w:szCs w:val="21"/>
              </w:rPr>
            </w:pPr>
            <w:r>
              <w:rPr>
                <w:rFonts w:hint="eastAsia" w:ascii="宋体" w:hAnsi="宋体"/>
                <w:szCs w:val="21"/>
              </w:rPr>
              <w:t>10</w:t>
            </w:r>
          </w:p>
        </w:tc>
        <w:tc>
          <w:tcPr>
            <w:tcW w:w="4252" w:type="dxa"/>
            <w:vAlign w:val="center"/>
          </w:tcPr>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w:t>
            </w:r>
            <w:r>
              <w:rPr>
                <w:rFonts w:hint="eastAsia" w:ascii="宋体" w:hAnsi="宋体" w:cs="宋体"/>
                <w:color w:val="000000"/>
                <w:kern w:val="0"/>
                <w:szCs w:val="21"/>
                <w:lang w:bidi="ar"/>
              </w:rPr>
              <w:t>基准价为各有效投标报价的平均价，且总价不高于100万元。</w:t>
            </w:r>
          </w:p>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w:t>
            </w:r>
            <w:r>
              <w:rPr>
                <w:rFonts w:hint="eastAsia" w:ascii="宋体" w:hAnsi="宋体" w:cs="宋体"/>
                <w:color w:val="000000"/>
                <w:kern w:val="0"/>
                <w:szCs w:val="21"/>
                <w:lang w:bidi="ar"/>
              </w:rPr>
              <w:t>当投标报价等于基准价的得10分；在此基础上，投标报价每高于基准价10%减1分，每低于基准价10%扣</w:t>
            </w:r>
            <w:r>
              <w:rPr>
                <w:rFonts w:ascii="宋体" w:hAnsi="宋体" w:cs="宋体"/>
                <w:color w:val="000000"/>
                <w:kern w:val="0"/>
                <w:szCs w:val="21"/>
                <w:lang w:bidi="ar"/>
              </w:rPr>
              <w:t>1</w:t>
            </w:r>
            <w:r>
              <w:rPr>
                <w:rFonts w:hint="eastAsia" w:ascii="宋体" w:hAnsi="宋体" w:cs="宋体"/>
                <w:color w:val="000000"/>
                <w:kern w:val="0"/>
                <w:szCs w:val="21"/>
                <w:lang w:bidi="ar"/>
              </w:rPr>
              <w:t>分，以此类推，扣完为止。</w:t>
            </w:r>
          </w:p>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3.支付方式有优势的优先。</w:t>
            </w:r>
          </w:p>
        </w:tc>
        <w:tc>
          <w:tcPr>
            <w:tcW w:w="2257" w:type="dxa"/>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0</w:t>
            </w:r>
            <w:r>
              <w:rPr>
                <w:rFonts w:ascii="宋体" w:hAnsi="宋体" w:cs="宋体"/>
                <w:color w:val="000000"/>
                <w:szCs w:val="21"/>
              </w:rPr>
              <w:t>-</w:t>
            </w:r>
            <w:r>
              <w:rPr>
                <w:rFonts w:hint="eastAsia" w:ascii="宋体" w:hAnsi="宋体" w:cs="宋体"/>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32" w:type="dxa"/>
            <w:vMerge w:val="continue"/>
            <w:vAlign w:val="center"/>
          </w:tcPr>
          <w:p>
            <w:pPr>
              <w:spacing w:line="240" w:lineRule="atLeast"/>
              <w:ind w:firstLine="28"/>
              <w:jc w:val="center"/>
              <w:rPr>
                <w:rFonts w:ascii="宋体" w:hAnsi="宋体"/>
                <w:szCs w:val="21"/>
              </w:rPr>
            </w:pPr>
          </w:p>
        </w:tc>
        <w:tc>
          <w:tcPr>
            <w:tcW w:w="991" w:type="dxa"/>
            <w:vMerge w:val="continue"/>
            <w:vAlign w:val="center"/>
          </w:tcPr>
          <w:p>
            <w:pPr>
              <w:spacing w:line="240" w:lineRule="atLeast"/>
              <w:ind w:firstLine="28"/>
              <w:jc w:val="center"/>
              <w:rPr>
                <w:rFonts w:ascii="宋体" w:hAnsi="宋体"/>
                <w:szCs w:val="21"/>
              </w:rPr>
            </w:pPr>
          </w:p>
        </w:tc>
        <w:tc>
          <w:tcPr>
            <w:tcW w:w="1136" w:type="dxa"/>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业绩案例</w:t>
            </w:r>
          </w:p>
          <w:p>
            <w:pPr>
              <w:widowControl/>
              <w:textAlignment w:val="center"/>
              <w:rPr>
                <w:rFonts w:ascii="宋体" w:hAnsi="宋体" w:cs="宋体"/>
                <w:color w:val="000000"/>
                <w:szCs w:val="21"/>
              </w:rPr>
            </w:pPr>
            <w:r>
              <w:rPr>
                <w:rFonts w:hint="eastAsia" w:ascii="宋体" w:hAnsi="宋体" w:cs="宋体"/>
                <w:color w:val="000000"/>
                <w:kern w:val="0"/>
                <w:szCs w:val="21"/>
                <w:lang w:bidi="ar"/>
              </w:rPr>
              <w:t>（5%）</w:t>
            </w:r>
          </w:p>
        </w:tc>
        <w:tc>
          <w:tcPr>
            <w:tcW w:w="568"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4252"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w:t>
            </w:r>
            <w:r>
              <w:rPr>
                <w:rFonts w:hint="eastAsia" w:ascii="宋体" w:hAnsi="宋体" w:cs="宋体"/>
                <w:color w:val="000000"/>
                <w:kern w:val="0"/>
                <w:szCs w:val="21"/>
                <w:lang w:bidi="ar"/>
              </w:rPr>
              <w:t>供应商厂家提供2016年至2018年5个全渠道营销平台客户案例(B2C/B2B/O2O等互联网模式)；</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w:t>
            </w:r>
            <w:r>
              <w:rPr>
                <w:rFonts w:hint="eastAsia" w:ascii="宋体" w:hAnsi="宋体" w:cs="宋体"/>
                <w:color w:val="000000"/>
                <w:kern w:val="0"/>
                <w:szCs w:val="21"/>
                <w:lang w:bidi="ar"/>
              </w:rPr>
              <w:t>且每家客户案例合同金额必须在3</w:t>
            </w:r>
            <w:r>
              <w:rPr>
                <w:rFonts w:ascii="宋体" w:hAnsi="宋体" w:cs="宋体"/>
                <w:color w:val="000000"/>
                <w:kern w:val="0"/>
                <w:szCs w:val="21"/>
                <w:lang w:bidi="ar"/>
              </w:rPr>
              <w:t>0</w:t>
            </w:r>
            <w:r>
              <w:rPr>
                <w:rFonts w:hint="eastAsia" w:ascii="宋体" w:hAnsi="宋体" w:cs="宋体"/>
                <w:color w:val="000000"/>
                <w:kern w:val="0"/>
                <w:szCs w:val="21"/>
                <w:lang w:bidi="ar"/>
              </w:rPr>
              <w:t>万及以上；</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3.企业有不良记录的，评分靠后。</w:t>
            </w:r>
          </w:p>
        </w:tc>
        <w:tc>
          <w:tcPr>
            <w:tcW w:w="2257" w:type="dxa"/>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0</w:t>
            </w:r>
            <w:r>
              <w:rPr>
                <w:rFonts w:ascii="宋体" w:hAnsi="宋体" w:cs="宋体"/>
                <w:color w:val="000000"/>
                <w:kern w:val="0"/>
                <w:szCs w:val="21"/>
                <w:lang w:bidi="ar"/>
              </w:rPr>
              <w:t>-</w:t>
            </w:r>
            <w:r>
              <w:rPr>
                <w:rFonts w:hint="eastAsia" w:ascii="宋体" w:hAnsi="宋体" w:cs="宋体"/>
                <w:color w:val="000000"/>
                <w:kern w:val="0"/>
                <w:szCs w:val="21"/>
                <w:lang w:bidi="ar"/>
              </w:rPr>
              <w:t>5分</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提供合同及验收报告复印件，加盖投标人公章。</w:t>
            </w:r>
          </w:p>
        </w:tc>
      </w:tr>
    </w:tbl>
    <w:p>
      <w:pPr>
        <w:spacing w:line="360" w:lineRule="auto"/>
        <w:ind w:left="480"/>
        <w:rPr>
          <w:rFonts w:ascii="宋体" w:hAnsi="宋体"/>
          <w:sz w:val="24"/>
        </w:rPr>
      </w:pPr>
    </w:p>
    <w:p>
      <w:pPr>
        <w:spacing w:line="360" w:lineRule="auto"/>
        <w:ind w:firstLine="482" w:firstLineChars="200"/>
        <w:rPr>
          <w:rFonts w:ascii="宋体" w:hAnsi="宋体"/>
          <w:b/>
          <w:sz w:val="24"/>
        </w:rPr>
      </w:pPr>
      <w:r>
        <w:rPr>
          <w:rFonts w:hint="eastAsia" w:ascii="宋体" w:hAnsi="宋体"/>
          <w:b/>
          <w:sz w:val="24"/>
        </w:rPr>
        <w:t>三、中标</w:t>
      </w:r>
    </w:p>
    <w:p>
      <w:pPr>
        <w:spacing w:line="360" w:lineRule="auto"/>
        <w:ind w:left="601" w:leftChars="286" w:firstLine="480" w:firstLineChars="200"/>
        <w:rPr>
          <w:rFonts w:ascii="宋体" w:hAnsi="宋体"/>
          <w:b/>
          <w:sz w:val="24"/>
        </w:rPr>
      </w:pPr>
      <w:r>
        <w:rPr>
          <w:rFonts w:hint="eastAsia" w:ascii="宋体" w:cs="宋体"/>
          <w:bCs/>
          <w:color w:val="000000"/>
          <w:kern w:val="0"/>
          <w:sz w:val="24"/>
          <w:lang w:val="zh-CN"/>
        </w:rPr>
        <w:t>在规定日期缴纳保证金及标书款的投标人有资格参加商务报价，经评审</w:t>
      </w:r>
      <w:r>
        <w:rPr>
          <w:rFonts w:hint="eastAsia" w:ascii="宋体" w:hAnsi="宋体" w:cs="宋体"/>
          <w:kern w:val="0"/>
          <w:szCs w:val="21"/>
        </w:rPr>
        <w:t>综合评比后确定中标，最低价不作为中标依据。</w:t>
      </w:r>
    </w:p>
    <w:p>
      <w:pPr>
        <w:spacing w:line="360" w:lineRule="auto"/>
        <w:ind w:firstLine="482" w:firstLineChars="200"/>
        <w:rPr>
          <w:rFonts w:ascii="宋体" w:hAnsi="宋体"/>
          <w:b/>
          <w:sz w:val="24"/>
        </w:rPr>
      </w:pPr>
      <w:r>
        <w:rPr>
          <w:rFonts w:hint="eastAsia" w:ascii="宋体" w:hAnsi="宋体"/>
          <w:b/>
          <w:sz w:val="24"/>
        </w:rPr>
        <w:t>四、签订合同</w:t>
      </w:r>
    </w:p>
    <w:p>
      <w:pPr>
        <w:numPr>
          <w:ilvl w:val="0"/>
          <w:numId w:val="18"/>
        </w:numPr>
        <w:tabs>
          <w:tab w:val="left" w:pos="840"/>
        </w:tabs>
        <w:spacing w:line="360" w:lineRule="auto"/>
        <w:ind w:left="420" w:leftChars="200" w:firstLine="480" w:firstLineChars="200"/>
        <w:rPr>
          <w:rFonts w:ascii="宋体" w:hAnsi="宋体"/>
          <w:sz w:val="24"/>
          <w:highlight w:val="yellow"/>
        </w:rPr>
      </w:pPr>
      <w:r>
        <w:rPr>
          <w:rFonts w:hint="eastAsia" w:ascii="宋体" w:hAnsi="宋体"/>
          <w:sz w:val="24"/>
          <w:highlight w:val="yellow"/>
        </w:rPr>
        <w:t>中标结果公布后，招标方先行试用中标方软件一个星期后，如试用效果佳，中标方与招标方在</w:t>
      </w:r>
      <w:r>
        <w:rPr>
          <w:rFonts w:hint="eastAsia" w:ascii="宋体" w:hAnsi="宋体"/>
          <w:color w:val="FF0000"/>
          <w:sz w:val="24"/>
          <w:highlight w:val="yellow"/>
        </w:rPr>
        <w:t>1</w:t>
      </w:r>
      <w:r>
        <w:rPr>
          <w:rFonts w:ascii="宋体" w:hAnsi="宋体"/>
          <w:color w:val="FF0000"/>
          <w:sz w:val="24"/>
          <w:highlight w:val="yellow"/>
        </w:rPr>
        <w:t>0</w:t>
      </w:r>
      <w:r>
        <w:rPr>
          <w:rFonts w:hint="eastAsia" w:ascii="宋体" w:hAnsi="宋体"/>
          <w:sz w:val="24"/>
          <w:highlight w:val="yellow"/>
        </w:rPr>
        <w:t>个工作日内签订采购合同，具体供货时间、数量以技术方案为准。</w:t>
      </w:r>
    </w:p>
    <w:p>
      <w:pPr>
        <w:numPr>
          <w:ilvl w:val="0"/>
          <w:numId w:val="18"/>
        </w:numPr>
        <w:tabs>
          <w:tab w:val="left" w:pos="840"/>
        </w:tabs>
        <w:spacing w:line="360" w:lineRule="auto"/>
        <w:ind w:left="420" w:leftChars="200" w:firstLine="480" w:firstLineChars="200"/>
        <w:rPr>
          <w:rFonts w:ascii="宋体" w:hAnsi="宋体"/>
          <w:sz w:val="24"/>
        </w:rPr>
      </w:pPr>
      <w:r>
        <w:rPr>
          <w:rFonts w:hint="eastAsia" w:ascii="宋体" w:hAnsi="宋体"/>
          <w:sz w:val="24"/>
        </w:rPr>
        <w:t>招标文件、中标人的投标文件及投标过程中的有关澄清文件、承诺均视为中标合同的附件。</w:t>
      </w:r>
    </w:p>
    <w:p>
      <w:pPr>
        <w:tabs>
          <w:tab w:val="left" w:pos="840"/>
        </w:tabs>
        <w:spacing w:line="360" w:lineRule="auto"/>
        <w:rPr>
          <w:rFonts w:ascii="宋体" w:hAnsi="宋体"/>
          <w:sz w:val="24"/>
        </w:rPr>
      </w:pPr>
    </w:p>
    <w:p>
      <w:pPr>
        <w:tabs>
          <w:tab w:val="left" w:pos="840"/>
        </w:tabs>
        <w:spacing w:line="360" w:lineRule="auto"/>
        <w:rPr>
          <w:rFonts w:ascii="宋体" w:hAnsi="宋体"/>
          <w:sz w:val="24"/>
        </w:rPr>
      </w:pPr>
    </w:p>
    <w:p>
      <w:pPr>
        <w:numPr>
          <w:ilvl w:val="0"/>
          <w:numId w:val="1"/>
        </w:numPr>
        <w:ind w:firstLine="643" w:firstLineChars="200"/>
        <w:jc w:val="center"/>
        <w:outlineLvl w:val="0"/>
        <w:rPr>
          <w:rFonts w:ascii="宋体" w:hAnsi="宋体"/>
          <w:b/>
          <w:sz w:val="32"/>
          <w:szCs w:val="32"/>
        </w:rPr>
      </w:pPr>
      <w:bookmarkStart w:id="22" w:name="_Toc22565950"/>
      <w:bookmarkStart w:id="23" w:name="_Toc22122856"/>
      <w:bookmarkStart w:id="24" w:name="_Toc32321"/>
      <w:bookmarkStart w:id="25" w:name="_Toc27507"/>
      <w:bookmarkStart w:id="26" w:name="_Toc32742"/>
      <w:r>
        <w:rPr>
          <w:rFonts w:hint="eastAsia" w:ascii="宋体" w:hAnsi="宋体"/>
          <w:b/>
          <w:sz w:val="32"/>
          <w:szCs w:val="32"/>
        </w:rPr>
        <w:t>具体要求</w:t>
      </w:r>
      <w:bookmarkEnd w:id="22"/>
      <w:bookmarkEnd w:id="23"/>
      <w:bookmarkEnd w:id="24"/>
      <w:bookmarkEnd w:id="25"/>
      <w:bookmarkEnd w:id="26"/>
    </w:p>
    <w:p>
      <w:pPr>
        <w:pStyle w:val="3"/>
        <w:widowControl/>
        <w:numPr>
          <w:ilvl w:val="1"/>
          <w:numId w:val="19"/>
        </w:numPr>
        <w:spacing w:before="120" w:after="120" w:line="360" w:lineRule="auto"/>
        <w:jc w:val="left"/>
        <w:rPr>
          <w:lang w:val="zh-CN"/>
        </w:rPr>
      </w:pPr>
      <w:bookmarkStart w:id="27" w:name="_Toc22565951"/>
      <w:r>
        <w:rPr>
          <w:rFonts w:hint="eastAsia"/>
          <w:lang w:val="zh-CN" w:eastAsia="zh-CN"/>
        </w:rPr>
        <w:t>系统建设方案</w:t>
      </w:r>
      <w:bookmarkEnd w:id="27"/>
    </w:p>
    <w:p>
      <w:pPr>
        <w:rPr>
          <w:b/>
          <w:sz w:val="28"/>
          <w:szCs w:val="28"/>
          <w:lang w:val="zh-CN"/>
        </w:rPr>
      </w:pPr>
      <w:r>
        <w:rPr>
          <w:rFonts w:hint="eastAsia"/>
          <w:b/>
          <w:sz w:val="28"/>
          <w:szCs w:val="28"/>
          <w:lang w:val="zh-CN"/>
        </w:rPr>
        <w:t>1、</w:t>
      </w:r>
      <w:bookmarkStart w:id="28" w:name="_Toc467581759"/>
      <w:r>
        <w:rPr>
          <w:rFonts w:hint="eastAsia"/>
          <w:b/>
          <w:sz w:val="28"/>
          <w:szCs w:val="28"/>
          <w:lang w:val="zh-CN"/>
        </w:rPr>
        <w:t>项目</w:t>
      </w:r>
      <w:bookmarkEnd w:id="28"/>
      <w:r>
        <w:rPr>
          <w:rFonts w:hint="eastAsia"/>
          <w:b/>
          <w:sz w:val="28"/>
          <w:szCs w:val="28"/>
          <w:lang w:val="zh-CN"/>
        </w:rPr>
        <w:t>背景</w:t>
      </w:r>
    </w:p>
    <w:p>
      <w:pPr>
        <w:spacing w:line="360" w:lineRule="auto"/>
        <w:ind w:firstLine="480" w:firstLineChars="200"/>
        <w:rPr>
          <w:rFonts w:ascii="宋体" w:hAnsi="宋体"/>
          <w:sz w:val="24"/>
        </w:rPr>
      </w:pPr>
      <w:r>
        <w:rPr>
          <w:rFonts w:hint="eastAsia" w:ascii="宋体" w:hAnsi="宋体"/>
          <w:sz w:val="24"/>
        </w:rPr>
        <w:t>农投集团倾力打造母品牌“农投良品”，集成集团内外资源，全力培育良品展示、销售和体验平台，通过新理念、新技术、新手段、新方式，寻求新的商业模式，统筹推进集团内外合适的优质产品集成集约营销，形成协同效应、放大效应，打通产品上餐桌前的最后一公里，推动农业全产业链经营三次产业融合发展的重要力量。</w:t>
      </w:r>
      <w:r>
        <w:rPr>
          <w:rFonts w:ascii="宋体" w:hAnsi="宋体"/>
          <w:sz w:val="24"/>
        </w:rPr>
        <w:t>“农投良品”是农投集团重点打造的母品牌，从旗下几百个农产品品牌中选出了重庆市民熟悉信赖的品牌收罗其中，也包括市内外优质农产品。同时，“农投良品”也是农投集团打造的集成集约营销奶、肉、蛋、鱼、罐头等产品的线上线下融合销售与体验一体平台。</w:t>
      </w:r>
      <w:r>
        <w:rPr>
          <w:rFonts w:hint="eastAsia" w:ascii="宋体" w:hAnsi="宋体"/>
          <w:sz w:val="24"/>
        </w:rPr>
        <w:t xml:space="preserve"> 随着农投良品公司的不断发展，内控精细化管理需求提高，实现农投良品公司的系统管理、规范管理、信息化管理，并能建立起一支成熟的软件管理操作队伍。</w:t>
      </w:r>
      <w:bookmarkStart w:id="29" w:name="_Toc248743665"/>
      <w:bookmarkStart w:id="30" w:name="_Toc189791464"/>
    </w:p>
    <w:p>
      <w:pPr>
        <w:rPr>
          <w:b/>
          <w:sz w:val="28"/>
          <w:szCs w:val="28"/>
          <w:lang w:val="zh-CN"/>
        </w:rPr>
      </w:pPr>
      <w:r>
        <w:rPr>
          <w:rFonts w:hint="eastAsia"/>
          <w:b/>
          <w:sz w:val="28"/>
          <w:szCs w:val="28"/>
          <w:lang w:val="zh-CN"/>
        </w:rPr>
        <w:t>2、</w:t>
      </w:r>
      <w:bookmarkEnd w:id="29"/>
      <w:bookmarkEnd w:id="30"/>
      <w:r>
        <w:rPr>
          <w:rFonts w:hint="eastAsia"/>
          <w:b/>
          <w:sz w:val="28"/>
          <w:szCs w:val="28"/>
          <w:lang w:val="zh-CN"/>
        </w:rPr>
        <w:t>应用需求</w:t>
      </w:r>
    </w:p>
    <w:p>
      <w:pPr>
        <w:spacing w:line="360" w:lineRule="auto"/>
        <w:ind w:firstLine="480" w:firstLineChars="200"/>
        <w:rPr>
          <w:rFonts w:ascii="宋体" w:hAnsi="宋体"/>
          <w:sz w:val="24"/>
          <w:szCs w:val="24"/>
        </w:rPr>
      </w:pPr>
      <w:r>
        <w:rPr>
          <w:rFonts w:hint="eastAsia" w:ascii="宋体" w:hAnsi="宋体"/>
          <w:sz w:val="24"/>
          <w:szCs w:val="24"/>
        </w:rPr>
        <w:t>农投良品公司借助信息系统打造全新的商业模式，通过线上线下融合，电商平台集成，实现覆盖O</w:t>
      </w:r>
      <w:r>
        <w:rPr>
          <w:rFonts w:ascii="宋体" w:hAnsi="宋体"/>
          <w:sz w:val="24"/>
          <w:szCs w:val="24"/>
        </w:rPr>
        <w:t>2</w:t>
      </w:r>
      <w:r>
        <w:rPr>
          <w:rFonts w:hint="eastAsia" w:ascii="宋体" w:hAnsi="宋体"/>
          <w:sz w:val="24"/>
          <w:szCs w:val="24"/>
        </w:rPr>
        <w:t>O、B</w:t>
      </w:r>
      <w:r>
        <w:rPr>
          <w:rFonts w:ascii="宋体" w:hAnsi="宋体"/>
          <w:sz w:val="24"/>
          <w:szCs w:val="24"/>
        </w:rPr>
        <w:t>2C</w:t>
      </w:r>
      <w:r>
        <w:rPr>
          <w:rFonts w:hint="eastAsia" w:ascii="宋体" w:hAnsi="宋体"/>
          <w:sz w:val="24"/>
          <w:szCs w:val="24"/>
        </w:rPr>
        <w:t>、F</w:t>
      </w:r>
      <w:r>
        <w:rPr>
          <w:rFonts w:ascii="宋体" w:hAnsi="宋体"/>
          <w:sz w:val="24"/>
          <w:szCs w:val="24"/>
        </w:rPr>
        <w:t>2</w:t>
      </w:r>
      <w:r>
        <w:rPr>
          <w:rFonts w:hint="eastAsia" w:ascii="宋体" w:hAnsi="宋体"/>
          <w:sz w:val="24"/>
          <w:szCs w:val="24"/>
        </w:rPr>
        <w:t>B</w:t>
      </w:r>
      <w:r>
        <w:rPr>
          <w:rFonts w:ascii="宋体" w:hAnsi="宋体"/>
          <w:sz w:val="24"/>
          <w:szCs w:val="24"/>
        </w:rPr>
        <w:t>2</w:t>
      </w:r>
      <w:r>
        <w:rPr>
          <w:rFonts w:hint="eastAsia" w:ascii="宋体" w:hAnsi="宋体"/>
          <w:sz w:val="24"/>
          <w:szCs w:val="24"/>
        </w:rPr>
        <w:t>C等新零售、新渠道的新型商业模式；实现前端交易自动化，中台处理集中化，后台管理精细化，前、中、后台一体化的整体业务运营支撑平台。打通线上线下业务管理，实现集中管控；线上线下订单自动分发供应商，跟踪物流发货进度；供应商、客户结算清晰；公司内部多组织业务协同，集中管理；实现全局库存管理、全网会员、商品促销、智能要补货等要求；实现财务成本精细化核算，各业务部门职责清晰。</w:t>
      </w:r>
    </w:p>
    <w:p>
      <w:pPr>
        <w:pStyle w:val="32"/>
        <w:numPr>
          <w:ilvl w:val="0"/>
          <w:numId w:val="20"/>
        </w:numPr>
        <w:spacing w:line="360" w:lineRule="auto"/>
        <w:ind w:firstLineChars="0"/>
        <w:rPr>
          <w:rFonts w:ascii="宋体" w:hAnsi="宋体"/>
          <w:sz w:val="24"/>
          <w:szCs w:val="24"/>
        </w:rPr>
      </w:pPr>
      <w:r>
        <w:rPr>
          <w:rFonts w:hint="eastAsia" w:ascii="宋体" w:hAnsi="宋体"/>
          <w:b/>
          <w:sz w:val="24"/>
          <w:szCs w:val="24"/>
        </w:rPr>
        <w:t>电商业务：</w:t>
      </w:r>
      <w:r>
        <w:rPr>
          <w:rFonts w:hint="eastAsia" w:ascii="宋体" w:hAnsi="宋体"/>
          <w:sz w:val="24"/>
          <w:szCs w:val="24"/>
        </w:rPr>
        <w:t>支持完成至少15个以上大型电商平台数据对接，支持与我司合作方10个以上的自有电商平台的对接开发，统一商品上架，订单同步，售后等业务集中处理，与后台ERP一体化集成。</w:t>
      </w:r>
    </w:p>
    <w:p>
      <w:pPr>
        <w:pStyle w:val="32"/>
        <w:numPr>
          <w:ilvl w:val="0"/>
          <w:numId w:val="20"/>
        </w:numPr>
        <w:spacing w:line="360" w:lineRule="auto"/>
        <w:ind w:firstLineChars="0"/>
        <w:rPr>
          <w:rFonts w:ascii="宋体" w:hAnsi="宋体"/>
          <w:sz w:val="24"/>
          <w:szCs w:val="24"/>
        </w:rPr>
      </w:pPr>
      <w:r>
        <w:rPr>
          <w:rFonts w:hint="eastAsia" w:ascii="宋体" w:hAnsi="宋体"/>
          <w:b/>
          <w:sz w:val="24"/>
          <w:szCs w:val="24"/>
        </w:rPr>
        <w:t>连锁加盟：</w:t>
      </w:r>
      <w:r>
        <w:rPr>
          <w:rFonts w:hint="eastAsia" w:ascii="宋体" w:hAnsi="宋体"/>
          <w:sz w:val="24"/>
          <w:szCs w:val="24"/>
        </w:rPr>
        <w:t>支持线上商城、线下门店一体化；支持线上下单，线下配送新零售交易模式；支持会员积分、储值线上线下一体化；支持会员线上线下所有消费，线上自助开具电子发票；支持门店要货、店存、零售开单、数据分析等自主管理，加盟商分利管理与后台ERP一体化集成。</w:t>
      </w:r>
    </w:p>
    <w:p>
      <w:pPr>
        <w:pStyle w:val="32"/>
        <w:numPr>
          <w:ilvl w:val="0"/>
          <w:numId w:val="20"/>
        </w:numPr>
        <w:spacing w:line="360" w:lineRule="auto"/>
        <w:ind w:firstLineChars="0"/>
        <w:rPr>
          <w:rFonts w:asciiTheme="minorEastAsia" w:hAnsiTheme="minorEastAsia"/>
          <w:sz w:val="24"/>
          <w:szCs w:val="24"/>
        </w:rPr>
      </w:pPr>
      <w:r>
        <w:rPr>
          <w:rFonts w:hint="eastAsia" w:asciiTheme="minorEastAsia" w:hAnsiTheme="minorEastAsia"/>
          <w:b/>
          <w:sz w:val="24"/>
          <w:szCs w:val="24"/>
        </w:rPr>
        <w:t>供应商管理：</w:t>
      </w:r>
      <w:r>
        <w:rPr>
          <w:rFonts w:hint="eastAsia" w:asciiTheme="minorEastAsia" w:hAnsiTheme="minorEastAsia"/>
          <w:sz w:val="24"/>
          <w:szCs w:val="24"/>
        </w:rPr>
        <w:t>支持线上线下订单自动分发，供应商通过平台下载订单，确认发货，物流信息回传，并与ERP系统实现集成，实现供应商业务协同，线上自助对账，供应商信用管理等</w:t>
      </w:r>
      <w:r>
        <w:rPr>
          <w:rFonts w:hint="eastAsia" w:asciiTheme="minorEastAsia" w:hAnsiTheme="minorEastAsia"/>
          <w:b/>
          <w:sz w:val="24"/>
          <w:szCs w:val="24"/>
        </w:rPr>
        <w:t>。</w:t>
      </w:r>
    </w:p>
    <w:p>
      <w:pPr>
        <w:pStyle w:val="32"/>
        <w:numPr>
          <w:ilvl w:val="0"/>
          <w:numId w:val="20"/>
        </w:numPr>
        <w:spacing w:line="360" w:lineRule="auto"/>
        <w:ind w:firstLineChars="0"/>
        <w:rPr>
          <w:rFonts w:asciiTheme="minorEastAsia" w:hAnsiTheme="minorEastAsia"/>
          <w:b/>
          <w:sz w:val="24"/>
          <w:szCs w:val="24"/>
        </w:rPr>
      </w:pPr>
      <w:r>
        <w:rPr>
          <w:rFonts w:hint="eastAsia" w:asciiTheme="minorEastAsia" w:hAnsiTheme="minorEastAsia"/>
          <w:b/>
          <w:sz w:val="24"/>
          <w:szCs w:val="24"/>
        </w:rPr>
        <w:t>公司本部：</w:t>
      </w:r>
      <w:r>
        <w:rPr>
          <w:rFonts w:hint="eastAsia" w:asciiTheme="minorEastAsia" w:hAnsiTheme="minorEastAsia"/>
          <w:sz w:val="24"/>
          <w:szCs w:val="24"/>
        </w:rPr>
        <w:t>支持按各事业部分利润中心进行财务核算和考核、费用预算与报销，支持财务业务一体化管理，支持前端业务系统与后台ERP系统一体化集成，支持内部交易协同管理，支持子公司生产企业的ERP流程管理；支持与集团NC财务系统集成，增加支持分子公司、事业部、合作项目财务报表合并；。</w:t>
      </w:r>
    </w:p>
    <w:p>
      <w:pPr>
        <w:pStyle w:val="32"/>
        <w:numPr>
          <w:ilvl w:val="0"/>
          <w:numId w:val="20"/>
        </w:numPr>
        <w:spacing w:line="360" w:lineRule="auto"/>
        <w:ind w:firstLineChars="0"/>
        <w:rPr>
          <w:rFonts w:asciiTheme="minorEastAsia" w:hAnsiTheme="minorEastAsia"/>
          <w:b/>
          <w:color w:val="FF0000"/>
          <w:sz w:val="24"/>
          <w:szCs w:val="24"/>
        </w:rPr>
      </w:pPr>
      <w:r>
        <w:rPr>
          <w:rFonts w:hint="eastAsia" w:asciiTheme="minorEastAsia" w:hAnsiTheme="minorEastAsia"/>
          <w:b/>
          <w:sz w:val="24"/>
          <w:szCs w:val="24"/>
        </w:rPr>
        <w:t>OA系统：</w:t>
      </w:r>
      <w:r>
        <w:rPr>
          <w:rFonts w:hint="eastAsia" w:asciiTheme="minorEastAsia" w:hAnsiTheme="minorEastAsia"/>
          <w:sz w:val="24"/>
          <w:szCs w:val="24"/>
        </w:rPr>
        <w:t>支持</w:t>
      </w:r>
      <w:r>
        <w:rPr>
          <w:rFonts w:asciiTheme="minorEastAsia" w:hAnsiTheme="minorEastAsia"/>
          <w:sz w:val="24"/>
          <w:szCs w:val="24"/>
        </w:rPr>
        <w:t>PC</w:t>
      </w:r>
      <w:r>
        <w:rPr>
          <w:rFonts w:hint="eastAsia" w:asciiTheme="minorEastAsia" w:hAnsiTheme="minorEastAsia"/>
          <w:sz w:val="24"/>
          <w:szCs w:val="24"/>
        </w:rPr>
        <w:t>端和移动端使用（各6</w:t>
      </w:r>
      <w:r>
        <w:rPr>
          <w:rFonts w:asciiTheme="minorEastAsia" w:hAnsiTheme="minorEastAsia"/>
          <w:sz w:val="24"/>
          <w:szCs w:val="24"/>
        </w:rPr>
        <w:t>0</w:t>
      </w:r>
      <w:r>
        <w:rPr>
          <w:rFonts w:hint="eastAsia" w:asciiTheme="minorEastAsia" w:hAnsiTheme="minorEastAsia"/>
          <w:sz w:val="24"/>
          <w:szCs w:val="24"/>
        </w:rPr>
        <w:t>个端口并发）；与ＥＲＰ系统关联；基础流程设置；版本为高级款最新版本；数据信息储存；包括但不仅限于以下要求：智能人事模块（含外勤打卡、日程安排、考勤报表、假期统计提醒、员工花名册、员工信息储存统计、绩效考核及分数统计、一键代发工资条、资产使用情况）；智能商旅（报销关联及数据统计，系统预定，无需员工垫付，费用公司月结）；企业通讯录（可发送企业内及时信息，拨打电话）；客户拜访数据报表（客服信息储存：公司纳税人号及其他；统计联系拜访客户频率，可支持打卡记录关联及图片上传）；销售订单与客户信息关联（直接点击客户信息就出现一系列相关信息）；销售报表（日/周/月推送）；审批流程（支持个性化设置，同时抄送或并发且无使用数量限制）；员工入职引导流程实现；员工培训（培训资料免费赠送）；员工学习（学习资料免费赠送）；合同流程跟踪及预付款（一是实现款项与付款时间、预付款时限、财务报销相关联；二是实现合同洽谈初期情况与客户拜访联动、设置储存中途联系人，联系信息、录入及储存后期合同签订版本及合同预付款等信息）；</w:t>
      </w:r>
    </w:p>
    <w:p>
      <w:pPr>
        <w:pStyle w:val="3"/>
        <w:widowControl/>
        <w:numPr>
          <w:ilvl w:val="1"/>
          <w:numId w:val="19"/>
        </w:numPr>
        <w:spacing w:before="120" w:after="120" w:line="360" w:lineRule="auto"/>
        <w:jc w:val="left"/>
        <w:rPr>
          <w:lang w:val="zh-CN" w:eastAsia="zh-CN"/>
        </w:rPr>
      </w:pPr>
      <w:bookmarkStart w:id="31" w:name="_Toc23544"/>
      <w:bookmarkStart w:id="32" w:name="_Toc22565952"/>
      <w:r>
        <w:rPr>
          <w:rFonts w:hint="eastAsia"/>
          <w:lang w:val="zh-CN" w:eastAsia="zh-CN"/>
        </w:rPr>
        <w:t>系统</w:t>
      </w:r>
      <w:bookmarkEnd w:id="31"/>
      <w:r>
        <w:rPr>
          <w:rFonts w:hint="eastAsia"/>
          <w:lang w:val="zh-CN" w:eastAsia="zh-CN"/>
        </w:rPr>
        <w:t>技术要求</w:t>
      </w:r>
      <w:bookmarkEnd w:id="32"/>
    </w:p>
    <w:p>
      <w:pPr>
        <w:rPr>
          <w:b/>
          <w:sz w:val="28"/>
          <w:szCs w:val="28"/>
          <w:lang w:val="zh-CN"/>
        </w:rPr>
      </w:pPr>
      <w:bookmarkStart w:id="33" w:name="_Toc47431566"/>
      <w:bookmarkEnd w:id="33"/>
      <w:bookmarkStart w:id="34" w:name="_Toc47430257"/>
      <w:bookmarkEnd w:id="34"/>
      <w:bookmarkStart w:id="35" w:name="_Toc47431565"/>
      <w:bookmarkEnd w:id="35"/>
      <w:bookmarkStart w:id="36" w:name="_Toc47430256"/>
      <w:bookmarkEnd w:id="36"/>
      <w:bookmarkStart w:id="37" w:name="_Toc47431561"/>
      <w:bookmarkEnd w:id="37"/>
      <w:bookmarkStart w:id="38" w:name="_Toc47430252"/>
      <w:bookmarkEnd w:id="38"/>
      <w:r>
        <w:rPr>
          <w:rFonts w:hint="eastAsia"/>
          <w:b/>
          <w:sz w:val="28"/>
          <w:szCs w:val="28"/>
          <w:lang w:val="zh-CN"/>
        </w:rPr>
        <w:t>1、系统架构设计要求</w:t>
      </w:r>
    </w:p>
    <w:p>
      <w:pPr>
        <w:numPr>
          <w:ilvl w:val="0"/>
          <w:numId w:val="21"/>
        </w:numPr>
        <w:spacing w:line="360" w:lineRule="auto"/>
        <w:rPr>
          <w:rFonts w:ascii="宋体" w:hAnsi="宋体"/>
          <w:sz w:val="24"/>
          <w:szCs w:val="24"/>
        </w:rPr>
      </w:pPr>
      <w:r>
        <w:rPr>
          <w:rFonts w:hint="eastAsia" w:ascii="宋体" w:hAnsi="宋体"/>
          <w:sz w:val="24"/>
          <w:szCs w:val="24"/>
        </w:rPr>
        <w:t>支持集团化架构，B</w:t>
      </w:r>
      <w:r>
        <w:rPr>
          <w:rFonts w:ascii="宋体" w:hAnsi="宋体"/>
          <w:sz w:val="24"/>
          <w:szCs w:val="24"/>
        </w:rPr>
        <w:t>/S</w:t>
      </w:r>
      <w:r>
        <w:rPr>
          <w:rFonts w:hint="eastAsia" w:ascii="宋体" w:hAnsi="宋体"/>
          <w:sz w:val="24"/>
          <w:szCs w:val="24"/>
        </w:rPr>
        <w:t>应用架构，支持公有云部署模式。</w:t>
      </w:r>
    </w:p>
    <w:p>
      <w:pPr>
        <w:numPr>
          <w:ilvl w:val="0"/>
          <w:numId w:val="21"/>
        </w:numPr>
        <w:spacing w:line="360" w:lineRule="auto"/>
        <w:rPr>
          <w:rFonts w:ascii="宋体" w:hAnsi="宋体"/>
          <w:sz w:val="24"/>
          <w:szCs w:val="24"/>
        </w:rPr>
      </w:pPr>
      <w:r>
        <w:rPr>
          <w:rFonts w:hint="eastAsia" w:ascii="宋体" w:hAnsi="宋体"/>
          <w:sz w:val="24"/>
          <w:szCs w:val="24"/>
        </w:rPr>
        <w:t>支持向总公司外部子公司、供应商或者客户提供基于浏览器的访问与操作方式。</w:t>
      </w:r>
    </w:p>
    <w:p>
      <w:pPr>
        <w:numPr>
          <w:ilvl w:val="0"/>
          <w:numId w:val="21"/>
        </w:numPr>
        <w:spacing w:line="360" w:lineRule="auto"/>
        <w:rPr>
          <w:rFonts w:ascii="宋体" w:hAnsi="宋体"/>
          <w:sz w:val="24"/>
          <w:szCs w:val="24"/>
        </w:rPr>
      </w:pPr>
      <w:r>
        <w:rPr>
          <w:rFonts w:hint="eastAsia" w:ascii="宋体" w:hAnsi="宋体"/>
          <w:sz w:val="24"/>
          <w:szCs w:val="24"/>
        </w:rPr>
        <w:t>支持O</w:t>
      </w:r>
      <w:r>
        <w:rPr>
          <w:rFonts w:ascii="宋体" w:hAnsi="宋体"/>
          <w:sz w:val="24"/>
          <w:szCs w:val="24"/>
        </w:rPr>
        <w:t>racle</w:t>
      </w:r>
      <w:r>
        <w:rPr>
          <w:rFonts w:hint="eastAsia" w:ascii="宋体" w:hAnsi="宋体"/>
          <w:sz w:val="24"/>
          <w:szCs w:val="24"/>
        </w:rPr>
        <w:t>、SQL2008等主流企业级数据库系统，支持自主知识产权数据库，支持主流J2EE中间件。</w:t>
      </w:r>
    </w:p>
    <w:p>
      <w:pPr>
        <w:numPr>
          <w:ilvl w:val="0"/>
          <w:numId w:val="21"/>
        </w:numPr>
        <w:spacing w:line="360" w:lineRule="auto"/>
        <w:rPr>
          <w:rFonts w:ascii="宋体" w:hAnsi="宋体"/>
          <w:sz w:val="24"/>
          <w:szCs w:val="24"/>
        </w:rPr>
      </w:pPr>
      <w:r>
        <w:rPr>
          <w:rFonts w:hint="eastAsia" w:ascii="宋体" w:hAnsi="宋体"/>
          <w:sz w:val="24"/>
          <w:szCs w:val="24"/>
        </w:rPr>
        <w:t>服务器端支持主流操作系统（Unix、Linux、Windows ），支持自主知识产权操作系统。</w:t>
      </w:r>
    </w:p>
    <w:p>
      <w:pPr>
        <w:numPr>
          <w:ilvl w:val="0"/>
          <w:numId w:val="21"/>
        </w:numPr>
        <w:spacing w:line="360" w:lineRule="auto"/>
        <w:rPr>
          <w:rFonts w:ascii="宋体" w:hAnsi="宋体"/>
          <w:sz w:val="24"/>
          <w:szCs w:val="24"/>
        </w:rPr>
      </w:pPr>
      <w:r>
        <w:rPr>
          <w:rFonts w:hint="eastAsia" w:ascii="宋体" w:hAnsi="宋体"/>
          <w:sz w:val="24"/>
          <w:szCs w:val="24"/>
        </w:rPr>
        <w:t>支持自动备份计划，用户可自主备份，异地保存或者自主引入备份数据。</w:t>
      </w:r>
    </w:p>
    <w:p>
      <w:pPr>
        <w:numPr>
          <w:ilvl w:val="0"/>
          <w:numId w:val="21"/>
        </w:numPr>
        <w:spacing w:line="360" w:lineRule="auto"/>
        <w:rPr>
          <w:rFonts w:ascii="宋体" w:hAnsi="宋体"/>
          <w:sz w:val="24"/>
          <w:szCs w:val="24"/>
        </w:rPr>
      </w:pPr>
      <w:r>
        <w:rPr>
          <w:rFonts w:hint="eastAsia" w:ascii="宋体" w:hAnsi="宋体"/>
          <w:sz w:val="24"/>
          <w:szCs w:val="24"/>
        </w:rPr>
        <w:t>具有工作流引擎，支持图型化的业务流程、审批流程。</w:t>
      </w:r>
    </w:p>
    <w:p>
      <w:pPr>
        <w:numPr>
          <w:ilvl w:val="0"/>
          <w:numId w:val="21"/>
        </w:numPr>
        <w:spacing w:line="360" w:lineRule="auto"/>
        <w:rPr>
          <w:rFonts w:ascii="宋体" w:hAnsi="宋体"/>
          <w:sz w:val="24"/>
          <w:szCs w:val="24"/>
        </w:rPr>
      </w:pPr>
      <w:r>
        <w:rPr>
          <w:rFonts w:hint="eastAsia" w:ascii="宋体" w:hAnsi="宋体"/>
          <w:sz w:val="24"/>
          <w:szCs w:val="24"/>
        </w:rPr>
        <w:t>支持标准API接口，可实现与第三方系统的开发对接。</w:t>
      </w:r>
    </w:p>
    <w:p>
      <w:pPr>
        <w:numPr>
          <w:ilvl w:val="0"/>
          <w:numId w:val="21"/>
        </w:numPr>
        <w:spacing w:line="360" w:lineRule="auto"/>
        <w:rPr>
          <w:rFonts w:ascii="宋体" w:hAnsi="宋体"/>
          <w:sz w:val="24"/>
          <w:szCs w:val="24"/>
        </w:rPr>
      </w:pPr>
      <w:r>
        <w:rPr>
          <w:rFonts w:hint="eastAsia" w:ascii="宋体" w:hAnsi="宋体"/>
          <w:sz w:val="24"/>
          <w:szCs w:val="24"/>
        </w:rPr>
        <w:t>内部管理中的严格的角色与层级权限。</w:t>
      </w:r>
    </w:p>
    <w:p>
      <w:pPr>
        <w:numPr>
          <w:ilvl w:val="0"/>
          <w:numId w:val="21"/>
        </w:numPr>
        <w:spacing w:line="360" w:lineRule="auto"/>
        <w:rPr>
          <w:rFonts w:ascii="宋体" w:hAnsi="宋体"/>
          <w:sz w:val="24"/>
          <w:szCs w:val="24"/>
        </w:rPr>
      </w:pPr>
      <w:r>
        <w:rPr>
          <w:rFonts w:hint="eastAsia" w:ascii="宋体" w:hAnsi="宋体"/>
          <w:sz w:val="24"/>
          <w:szCs w:val="24"/>
        </w:rPr>
        <w:t>支持灵活的业务扩展，产品功能模块可扩展性强。</w:t>
      </w:r>
    </w:p>
    <w:p>
      <w:pPr>
        <w:spacing w:line="360" w:lineRule="auto"/>
        <w:ind w:left="890"/>
        <w:rPr>
          <w:rFonts w:ascii="宋体" w:hAnsi="宋体"/>
          <w:sz w:val="24"/>
          <w:szCs w:val="24"/>
        </w:rPr>
      </w:pPr>
    </w:p>
    <w:p>
      <w:pPr>
        <w:rPr>
          <w:b/>
          <w:sz w:val="28"/>
          <w:szCs w:val="28"/>
          <w:lang w:val="zh-CN"/>
        </w:rPr>
      </w:pPr>
      <w:r>
        <w:rPr>
          <w:rFonts w:hint="eastAsia"/>
          <w:b/>
          <w:sz w:val="28"/>
          <w:szCs w:val="28"/>
          <w:lang w:val="zh-CN"/>
        </w:rPr>
        <w:t>2、成熟的系统技术</w:t>
      </w:r>
    </w:p>
    <w:p>
      <w:pPr>
        <w:numPr>
          <w:ilvl w:val="0"/>
          <w:numId w:val="21"/>
        </w:numPr>
        <w:spacing w:line="360" w:lineRule="auto"/>
        <w:rPr>
          <w:rFonts w:ascii="宋体" w:hAnsi="宋体"/>
          <w:sz w:val="24"/>
          <w:szCs w:val="24"/>
        </w:rPr>
      </w:pPr>
      <w:r>
        <w:rPr>
          <w:rFonts w:hint="eastAsia" w:ascii="宋体" w:hAnsi="宋体"/>
          <w:sz w:val="24"/>
          <w:szCs w:val="24"/>
        </w:rPr>
        <w:t>供应商厂家研发能力通过CMMI相关成熟度资质认证；</w:t>
      </w:r>
    </w:p>
    <w:p>
      <w:pPr>
        <w:numPr>
          <w:ilvl w:val="0"/>
          <w:numId w:val="21"/>
        </w:numPr>
        <w:spacing w:line="360" w:lineRule="auto"/>
        <w:rPr>
          <w:rFonts w:ascii="宋体" w:hAnsi="宋体"/>
          <w:sz w:val="24"/>
          <w:szCs w:val="24"/>
        </w:rPr>
      </w:pPr>
      <w:r>
        <w:rPr>
          <w:rFonts w:hint="eastAsia" w:ascii="宋体" w:hAnsi="宋体"/>
          <w:sz w:val="24"/>
          <w:szCs w:val="24"/>
        </w:rPr>
        <w:t>平台技术通过国家级相关认证，或取得相关领荣誉证书；</w:t>
      </w:r>
    </w:p>
    <w:p>
      <w:pPr>
        <w:numPr>
          <w:ilvl w:val="0"/>
          <w:numId w:val="21"/>
        </w:numPr>
        <w:spacing w:line="360" w:lineRule="auto"/>
        <w:rPr>
          <w:rFonts w:ascii="宋体" w:hAnsi="宋体"/>
          <w:sz w:val="24"/>
          <w:szCs w:val="24"/>
        </w:rPr>
      </w:pPr>
      <w:r>
        <w:rPr>
          <w:rFonts w:hint="eastAsia" w:ascii="宋体" w:hAnsi="宋体"/>
          <w:sz w:val="24"/>
          <w:szCs w:val="24"/>
        </w:rPr>
        <w:t>产品开发底层技术的成熟、稳定、先进、适用；</w:t>
      </w:r>
    </w:p>
    <w:p>
      <w:pPr>
        <w:numPr>
          <w:ilvl w:val="0"/>
          <w:numId w:val="21"/>
        </w:numPr>
        <w:spacing w:line="360" w:lineRule="auto"/>
        <w:rPr>
          <w:rFonts w:ascii="宋体" w:hAnsi="宋体"/>
          <w:sz w:val="24"/>
          <w:szCs w:val="24"/>
        </w:rPr>
      </w:pPr>
      <w:r>
        <w:rPr>
          <w:rFonts w:hint="eastAsia" w:ascii="宋体" w:hAnsi="宋体"/>
          <w:sz w:val="24"/>
          <w:szCs w:val="24"/>
        </w:rPr>
        <w:t>产品平台上能落实部署不同的管控模式与先进的管理思路；</w:t>
      </w:r>
    </w:p>
    <w:p>
      <w:pPr>
        <w:numPr>
          <w:ilvl w:val="0"/>
          <w:numId w:val="21"/>
        </w:numPr>
        <w:spacing w:line="360" w:lineRule="auto"/>
        <w:rPr>
          <w:rFonts w:ascii="宋体" w:hAnsi="宋体"/>
          <w:sz w:val="24"/>
          <w:szCs w:val="24"/>
        </w:rPr>
      </w:pPr>
      <w:r>
        <w:rPr>
          <w:rFonts w:hint="eastAsia" w:ascii="宋体" w:hAnsi="宋体"/>
          <w:sz w:val="24"/>
          <w:szCs w:val="24"/>
        </w:rPr>
        <w:t>产品功能要易用、灵活、可扩展、前瞻性，并有广泛客户实践；</w:t>
      </w:r>
    </w:p>
    <w:p>
      <w:pPr>
        <w:numPr>
          <w:ilvl w:val="0"/>
          <w:numId w:val="21"/>
        </w:numPr>
        <w:spacing w:line="360" w:lineRule="auto"/>
        <w:rPr>
          <w:rFonts w:ascii="宋体" w:hAnsi="宋体"/>
          <w:sz w:val="24"/>
          <w:szCs w:val="24"/>
        </w:rPr>
      </w:pPr>
      <w:r>
        <w:rPr>
          <w:rFonts w:hint="eastAsia" w:ascii="宋体" w:hAnsi="宋体"/>
          <w:sz w:val="24"/>
          <w:szCs w:val="24"/>
        </w:rPr>
        <w:t>系统要能经历大并发的专业验证和广泛大型用户实践检验；</w:t>
      </w:r>
    </w:p>
    <w:p>
      <w:pPr>
        <w:rPr>
          <w:b/>
          <w:sz w:val="28"/>
          <w:szCs w:val="28"/>
          <w:lang w:val="zh-CN"/>
        </w:rPr>
      </w:pPr>
      <w:bookmarkStart w:id="39" w:name="_Toc47431570"/>
      <w:bookmarkEnd w:id="39"/>
      <w:bookmarkStart w:id="40" w:name="_Toc47430261"/>
      <w:bookmarkEnd w:id="40"/>
      <w:bookmarkStart w:id="41" w:name="_Toc47431569"/>
      <w:bookmarkEnd w:id="41"/>
      <w:bookmarkStart w:id="42" w:name="_Toc47430260"/>
      <w:bookmarkEnd w:id="42"/>
      <w:r>
        <w:rPr>
          <w:rFonts w:hint="eastAsia"/>
          <w:b/>
          <w:sz w:val="28"/>
          <w:szCs w:val="28"/>
          <w:lang w:val="zh-CN"/>
        </w:rPr>
        <w:t>3、安全性要求</w:t>
      </w:r>
    </w:p>
    <w:p>
      <w:pPr>
        <w:numPr>
          <w:ilvl w:val="0"/>
          <w:numId w:val="21"/>
        </w:numPr>
        <w:spacing w:line="360" w:lineRule="auto"/>
        <w:rPr>
          <w:rFonts w:ascii="宋体" w:hAnsi="宋体"/>
          <w:sz w:val="24"/>
          <w:szCs w:val="24"/>
        </w:rPr>
      </w:pPr>
      <w:r>
        <w:rPr>
          <w:rFonts w:hint="eastAsia" w:ascii="宋体" w:hAnsi="宋体"/>
          <w:sz w:val="24"/>
          <w:szCs w:val="24"/>
        </w:rPr>
        <w:t>系统通过国家信息等级EAL或相关安全认证；</w:t>
      </w:r>
    </w:p>
    <w:p>
      <w:pPr>
        <w:numPr>
          <w:ilvl w:val="0"/>
          <w:numId w:val="21"/>
        </w:numPr>
        <w:spacing w:line="360" w:lineRule="auto"/>
        <w:rPr>
          <w:rFonts w:ascii="宋体" w:hAnsi="宋体"/>
          <w:sz w:val="24"/>
          <w:szCs w:val="24"/>
        </w:rPr>
      </w:pPr>
      <w:r>
        <w:rPr>
          <w:rFonts w:hint="eastAsia" w:ascii="宋体" w:hAnsi="宋体"/>
          <w:sz w:val="24"/>
          <w:szCs w:val="24"/>
        </w:rPr>
        <w:t>系统通过ISO</w:t>
      </w:r>
      <w:r>
        <w:rPr>
          <w:rFonts w:ascii="宋体" w:hAnsi="宋体"/>
          <w:sz w:val="24"/>
          <w:szCs w:val="24"/>
        </w:rPr>
        <w:t>27001</w:t>
      </w:r>
      <w:r>
        <w:rPr>
          <w:rFonts w:hint="eastAsia" w:ascii="宋体" w:hAnsi="宋体"/>
          <w:sz w:val="24"/>
          <w:szCs w:val="24"/>
        </w:rPr>
        <w:t>信息安全管理体系或相关资质认证；</w:t>
      </w:r>
    </w:p>
    <w:p>
      <w:pPr>
        <w:numPr>
          <w:ilvl w:val="0"/>
          <w:numId w:val="21"/>
        </w:numPr>
        <w:spacing w:line="360" w:lineRule="auto"/>
        <w:rPr>
          <w:rFonts w:ascii="宋体" w:hAnsi="宋体"/>
          <w:sz w:val="24"/>
          <w:szCs w:val="24"/>
        </w:rPr>
      </w:pPr>
      <w:r>
        <w:rPr>
          <w:rFonts w:hint="eastAsia" w:ascii="宋体" w:hAnsi="宋体"/>
          <w:sz w:val="24"/>
          <w:szCs w:val="24"/>
        </w:rPr>
        <w:t xml:space="preserve">系统数据安全（存储，数据库安全保护，备份，恢复，数据导出、导入，操作日志）； </w:t>
      </w:r>
    </w:p>
    <w:p>
      <w:pPr>
        <w:numPr>
          <w:ilvl w:val="0"/>
          <w:numId w:val="21"/>
        </w:numPr>
        <w:spacing w:line="360" w:lineRule="auto"/>
        <w:rPr>
          <w:rFonts w:ascii="宋体" w:hAnsi="宋体"/>
          <w:sz w:val="24"/>
          <w:szCs w:val="24"/>
        </w:rPr>
      </w:pPr>
      <w:r>
        <w:rPr>
          <w:rFonts w:hint="eastAsia" w:ascii="宋体" w:hAnsi="宋体"/>
          <w:sz w:val="24"/>
          <w:szCs w:val="24"/>
        </w:rPr>
        <w:t xml:space="preserve">系统内部功能应用权限（分角色、功能、数据等多维度权限管理）； </w:t>
      </w:r>
    </w:p>
    <w:p>
      <w:pPr>
        <w:numPr>
          <w:ilvl w:val="0"/>
          <w:numId w:val="21"/>
        </w:numPr>
        <w:spacing w:line="360" w:lineRule="auto"/>
        <w:rPr>
          <w:rFonts w:ascii="宋体" w:hAnsi="宋体"/>
          <w:sz w:val="24"/>
          <w:szCs w:val="24"/>
        </w:rPr>
      </w:pPr>
      <w:r>
        <w:rPr>
          <w:rFonts w:hint="eastAsia" w:ascii="宋体" w:hAnsi="宋体"/>
          <w:sz w:val="24"/>
          <w:szCs w:val="24"/>
        </w:rPr>
        <w:t xml:space="preserve">系统自身无重大安全漏洞，提供产品安全手册/报告； </w:t>
      </w:r>
    </w:p>
    <w:p>
      <w:pPr>
        <w:numPr>
          <w:ilvl w:val="0"/>
          <w:numId w:val="21"/>
        </w:numPr>
        <w:spacing w:line="360" w:lineRule="auto"/>
        <w:rPr>
          <w:rFonts w:ascii="宋体" w:hAnsi="宋体"/>
          <w:sz w:val="24"/>
          <w:szCs w:val="24"/>
        </w:rPr>
      </w:pPr>
      <w:r>
        <w:rPr>
          <w:rFonts w:hint="eastAsia" w:ascii="宋体" w:hAnsi="宋体"/>
          <w:sz w:val="24"/>
          <w:szCs w:val="24"/>
        </w:rPr>
        <w:t xml:space="preserve">系统部署方式：公有云、私有云、混合云。 </w:t>
      </w:r>
    </w:p>
    <w:p>
      <w:pPr>
        <w:rPr>
          <w:b/>
          <w:sz w:val="28"/>
          <w:szCs w:val="28"/>
          <w:lang w:val="zh-CN"/>
        </w:rPr>
      </w:pPr>
      <w:bookmarkStart w:id="43" w:name="_Toc11700"/>
      <w:bookmarkStart w:id="44" w:name="_Toc7976"/>
      <w:bookmarkStart w:id="45" w:name="_Toc12287"/>
      <w:r>
        <w:rPr>
          <w:rFonts w:hint="eastAsia"/>
          <w:b/>
          <w:sz w:val="28"/>
          <w:szCs w:val="28"/>
          <w:lang w:val="zh-CN"/>
        </w:rPr>
        <w:t>4、灵活性、多适应性要求</w:t>
      </w:r>
    </w:p>
    <w:p>
      <w:pPr>
        <w:spacing w:line="360" w:lineRule="auto"/>
        <w:ind w:firstLine="480" w:firstLineChars="200"/>
        <w:rPr>
          <w:rFonts w:ascii="宋体" w:hAnsi="宋体"/>
          <w:sz w:val="24"/>
          <w:szCs w:val="24"/>
        </w:rPr>
      </w:pPr>
      <w:r>
        <w:rPr>
          <w:rFonts w:hint="eastAsia" w:ascii="宋体" w:hAnsi="宋体"/>
          <w:sz w:val="24"/>
          <w:szCs w:val="24"/>
        </w:rPr>
        <w:t xml:space="preserve">系统需要支持组织机构、流程、信息项的灵活变化，要求系统可通过快速配置实现，而不需要进行代码级别开发。灵活性要求包括：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公司组织模型的定义和更改可完全通过配置实现。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系统中用户表单属性定义和更改可完全通过配置实现。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系统中流程定义和更改可完全通过配置实现。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系统具有为各类角色定义各种操作权限和操作权限组的能力。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系统能够自定义各种数据报表与打印格式。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必须实现完全模块化设计，支持参数化设置，支持组件及组件的动态加载。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可灵活设置任意复合条件进行组合查询，并输出任何资料的报表；可自由设定计算公式，满足各种计算要求。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数据导入方便灵活，易于掌握，可与 EXCEL 进行数据的导入和导出；功能结构清晰，易于操作。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系统支持自动提醒功能，用户可以自行设置提醒条件。 </w:t>
      </w:r>
    </w:p>
    <w:p>
      <w:pPr>
        <w:pStyle w:val="32"/>
        <w:numPr>
          <w:ilvl w:val="0"/>
          <w:numId w:val="22"/>
        </w:numPr>
        <w:spacing w:line="360" w:lineRule="auto"/>
        <w:ind w:firstLineChars="0"/>
        <w:rPr>
          <w:rFonts w:ascii="宋体" w:hAnsi="宋体"/>
          <w:sz w:val="24"/>
          <w:szCs w:val="24"/>
        </w:rPr>
      </w:pPr>
      <w:r>
        <w:rPr>
          <w:rFonts w:hint="eastAsia" w:ascii="宋体" w:hAnsi="宋体"/>
          <w:sz w:val="24"/>
          <w:szCs w:val="24"/>
        </w:rPr>
        <w:t xml:space="preserve">具有个性化的菜单设计，美观大方、操作方便；提供表格浏览与行编辑数据操作方法，所见即所得，显示即预览，预览即打印。 </w:t>
      </w:r>
    </w:p>
    <w:p>
      <w:pPr>
        <w:rPr>
          <w:b/>
          <w:sz w:val="28"/>
          <w:szCs w:val="28"/>
          <w:lang w:val="zh-CN"/>
        </w:rPr>
      </w:pPr>
      <w:r>
        <w:rPr>
          <w:rFonts w:hint="eastAsia"/>
          <w:b/>
          <w:sz w:val="28"/>
          <w:szCs w:val="28"/>
          <w:lang w:val="zh-CN"/>
        </w:rPr>
        <w:t>5、输入输出数据要求</w:t>
      </w:r>
    </w:p>
    <w:p>
      <w:pPr>
        <w:pStyle w:val="32"/>
        <w:numPr>
          <w:ilvl w:val="0"/>
          <w:numId w:val="23"/>
        </w:numPr>
        <w:spacing w:line="360" w:lineRule="auto"/>
        <w:ind w:firstLineChars="0"/>
        <w:rPr>
          <w:rFonts w:ascii="宋体" w:hAnsi="宋体"/>
          <w:sz w:val="24"/>
          <w:szCs w:val="24"/>
        </w:rPr>
      </w:pPr>
      <w:r>
        <w:rPr>
          <w:rFonts w:hint="eastAsia" w:ascii="宋体" w:hAnsi="宋体"/>
          <w:sz w:val="24"/>
          <w:szCs w:val="24"/>
        </w:rPr>
        <w:t xml:space="preserve">对于输入数据，当出现大批量信息录入时，如初始化基础数据时能够支持 EXCEL文件导入，由程序在实际操作中自动进行数据校验，程序具有一定的容错能力。 </w:t>
      </w:r>
    </w:p>
    <w:p>
      <w:pPr>
        <w:pStyle w:val="32"/>
        <w:numPr>
          <w:ilvl w:val="0"/>
          <w:numId w:val="23"/>
        </w:numPr>
        <w:spacing w:line="360" w:lineRule="auto"/>
        <w:ind w:firstLineChars="0"/>
        <w:rPr>
          <w:rFonts w:ascii="宋体" w:hAnsi="宋体"/>
          <w:sz w:val="24"/>
          <w:szCs w:val="24"/>
        </w:rPr>
      </w:pPr>
      <w:r>
        <w:rPr>
          <w:rFonts w:hint="eastAsia" w:ascii="宋体" w:hAnsi="宋体"/>
          <w:sz w:val="24"/>
          <w:szCs w:val="24"/>
        </w:rPr>
        <w:t xml:space="preserve">对于输出的数据(信息的详细页面)，都可进行打印预览操作； 对于输出的数据（作为其它应用系统的输入）能提供多种输出形式。 </w:t>
      </w:r>
    </w:p>
    <w:p>
      <w:pPr>
        <w:pStyle w:val="32"/>
        <w:numPr>
          <w:ilvl w:val="0"/>
          <w:numId w:val="23"/>
        </w:numPr>
        <w:spacing w:line="360" w:lineRule="auto"/>
        <w:ind w:firstLineChars="0"/>
        <w:rPr>
          <w:rFonts w:ascii="宋体" w:hAnsi="宋体"/>
          <w:sz w:val="24"/>
          <w:szCs w:val="24"/>
        </w:rPr>
      </w:pPr>
      <w:r>
        <w:rPr>
          <w:rFonts w:hint="eastAsia" w:ascii="宋体" w:hAnsi="宋体"/>
          <w:sz w:val="24"/>
          <w:szCs w:val="24"/>
        </w:rPr>
        <w:t>支持海量数据，并且在数据量增大时，不会显著影响应用软件的性能。</w:t>
      </w:r>
    </w:p>
    <w:p>
      <w:pPr>
        <w:pStyle w:val="3"/>
        <w:widowControl/>
        <w:numPr>
          <w:ilvl w:val="1"/>
          <w:numId w:val="19"/>
        </w:numPr>
        <w:spacing w:before="120" w:after="120" w:line="360" w:lineRule="auto"/>
        <w:jc w:val="left"/>
        <w:rPr>
          <w:lang w:val="zh-CN" w:eastAsia="zh-CN"/>
        </w:rPr>
      </w:pPr>
      <w:bookmarkStart w:id="46" w:name="_Toc22565953"/>
      <w:r>
        <w:rPr>
          <w:rFonts w:hint="eastAsia"/>
          <w:lang w:val="zh-CN" w:eastAsia="zh-CN"/>
        </w:rPr>
        <w:t>项目实施要求</w:t>
      </w:r>
      <w:bookmarkEnd w:id="46"/>
    </w:p>
    <w:p>
      <w:pPr>
        <w:rPr>
          <w:b/>
          <w:sz w:val="28"/>
          <w:szCs w:val="28"/>
          <w:lang w:val="zh-CN"/>
        </w:rPr>
      </w:pPr>
      <w:r>
        <w:rPr>
          <w:rFonts w:hint="eastAsia"/>
          <w:b/>
          <w:sz w:val="28"/>
          <w:szCs w:val="28"/>
          <w:lang w:val="zh-CN"/>
        </w:rPr>
        <w:t>1、组织管理及人员要求</w:t>
      </w:r>
    </w:p>
    <w:p>
      <w:pPr>
        <w:pStyle w:val="32"/>
        <w:numPr>
          <w:ilvl w:val="0"/>
          <w:numId w:val="24"/>
        </w:numPr>
        <w:spacing w:line="360" w:lineRule="auto"/>
        <w:ind w:firstLineChars="0"/>
        <w:rPr>
          <w:rFonts w:ascii="宋体" w:hAnsi="宋体"/>
          <w:sz w:val="24"/>
          <w:szCs w:val="24"/>
        </w:rPr>
      </w:pPr>
      <w:r>
        <w:rPr>
          <w:rFonts w:hint="eastAsia" w:ascii="宋体" w:hAnsi="宋体"/>
          <w:sz w:val="24"/>
          <w:szCs w:val="24"/>
        </w:rPr>
        <w:t xml:space="preserve">投标单位在中标后，必须成立合理的组织机构，建立健全保障项目顺利实施的各项管理制度和质量保证体系，安排好足够的高素质人才参加本项目的建设。 </w:t>
      </w:r>
    </w:p>
    <w:p>
      <w:pPr>
        <w:pStyle w:val="32"/>
        <w:numPr>
          <w:ilvl w:val="0"/>
          <w:numId w:val="24"/>
        </w:numPr>
        <w:spacing w:line="360" w:lineRule="auto"/>
        <w:ind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此次参加 ERP 系统项目的项目经理必须具有</w:t>
      </w:r>
      <w:r>
        <w:rPr>
          <w:rFonts w:hint="eastAsia" w:ascii="宋体" w:hAnsi="宋体"/>
          <w:sz w:val="24"/>
          <w:szCs w:val="24"/>
        </w:rPr>
        <w:t xml:space="preserve"> </w:t>
      </w:r>
      <w:r>
        <w:rPr>
          <w:rFonts w:ascii="宋体" w:hAnsi="宋体"/>
          <w:sz w:val="24"/>
          <w:szCs w:val="24"/>
        </w:rPr>
        <w:t>5</w:t>
      </w:r>
      <w:r>
        <w:rPr>
          <w:rFonts w:hint="eastAsia" w:ascii="宋体" w:hAnsi="宋体"/>
          <w:sz w:val="24"/>
          <w:szCs w:val="24"/>
        </w:rPr>
        <w:t xml:space="preserve">年及以上 ERP 实施经验，项目开发人员必须具有 5年以上项目开发经历，具备 </w:t>
      </w:r>
      <w:r>
        <w:rPr>
          <w:rFonts w:ascii="宋体" w:hAnsi="宋体"/>
          <w:sz w:val="24"/>
          <w:szCs w:val="24"/>
        </w:rPr>
        <w:t>5</w:t>
      </w:r>
      <w:r>
        <w:rPr>
          <w:rFonts w:hint="eastAsia" w:ascii="宋体" w:hAnsi="宋体"/>
          <w:sz w:val="24"/>
          <w:szCs w:val="24"/>
        </w:rPr>
        <w:t>个以上大型复杂 ERP 项目实施经验。项目实施团队成员，须具备3个以上 ERP 项目经验。项目经理以及实施团队在整个项目的开发实施过程中必须相对固定，项目经理必须专</w:t>
      </w:r>
      <w:r>
        <w:rPr>
          <w:rFonts w:hint="eastAsia" w:ascii="宋体" w:hAnsi="宋体"/>
          <w:color w:val="000000" w:themeColor="text1"/>
          <w:sz w:val="24"/>
          <w:szCs w:val="24"/>
          <w14:textFill>
            <w14:solidFill>
              <w14:schemeClr w14:val="tx1"/>
            </w14:solidFill>
          </w14:textFill>
        </w:rPr>
        <w:t xml:space="preserve">职全程参与本项目实施过程，项目组核心成员如果发生变更，变更前必须书面通知招标人。 </w:t>
      </w:r>
    </w:p>
    <w:p>
      <w:pPr>
        <w:pStyle w:val="32"/>
        <w:numPr>
          <w:ilvl w:val="0"/>
          <w:numId w:val="24"/>
        </w:numPr>
        <w:spacing w:line="360" w:lineRule="auto"/>
        <w:ind w:firstLineChars="0"/>
        <w:rPr>
          <w:rFonts w:ascii="宋体" w:hAnsi="宋体"/>
          <w:sz w:val="24"/>
          <w:szCs w:val="24"/>
        </w:rPr>
      </w:pPr>
      <w:r>
        <w:rPr>
          <w:rFonts w:hint="eastAsia" w:ascii="宋体" w:hAnsi="宋体"/>
          <w:sz w:val="24"/>
          <w:szCs w:val="24"/>
        </w:rPr>
        <w:t xml:space="preserve">技术人员必须具有软件开发经验，能够与用户进行良好的沟通，掌握 ERP 领域的相关基础知识，具备相关产品集成、应用和开发的能力，具有强烈的服务意识和高度的责任感。 </w:t>
      </w:r>
    </w:p>
    <w:p>
      <w:pPr>
        <w:pStyle w:val="32"/>
        <w:ind w:firstLine="0" w:firstLineChars="0"/>
        <w:rPr>
          <w:b/>
          <w:sz w:val="28"/>
          <w:szCs w:val="28"/>
          <w:lang w:val="zh-CN"/>
        </w:rPr>
      </w:pPr>
      <w:r>
        <w:rPr>
          <w:rFonts w:hint="eastAsia"/>
          <w:b/>
          <w:sz w:val="28"/>
          <w:szCs w:val="28"/>
          <w:lang w:val="zh-CN"/>
        </w:rPr>
        <w:t>2、项目管理要求</w:t>
      </w:r>
    </w:p>
    <w:p>
      <w:pPr>
        <w:pStyle w:val="32"/>
        <w:numPr>
          <w:ilvl w:val="0"/>
          <w:numId w:val="25"/>
        </w:numPr>
        <w:spacing w:line="360" w:lineRule="auto"/>
        <w:ind w:firstLineChars="0"/>
        <w:rPr>
          <w:rFonts w:ascii="宋体" w:hAnsi="宋体"/>
          <w:sz w:val="24"/>
          <w:szCs w:val="24"/>
        </w:rPr>
      </w:pPr>
      <w:r>
        <w:rPr>
          <w:rFonts w:hint="eastAsia" w:ascii="宋体" w:hAnsi="宋体"/>
          <w:sz w:val="24"/>
          <w:szCs w:val="24"/>
        </w:rPr>
        <w:t xml:space="preserve">软件供应商应按本标书中提出的阶段目标制定项目详细进度安排计划。 </w:t>
      </w:r>
    </w:p>
    <w:p>
      <w:pPr>
        <w:pStyle w:val="32"/>
        <w:numPr>
          <w:ilvl w:val="0"/>
          <w:numId w:val="25"/>
        </w:numPr>
        <w:spacing w:line="360" w:lineRule="auto"/>
        <w:ind w:firstLineChars="0"/>
        <w:rPr>
          <w:rFonts w:ascii="宋体" w:hAnsi="宋体"/>
          <w:sz w:val="24"/>
          <w:szCs w:val="24"/>
        </w:rPr>
      </w:pPr>
      <w:r>
        <w:rPr>
          <w:rFonts w:hint="eastAsia" w:ascii="宋体" w:hAnsi="宋体"/>
          <w:sz w:val="24"/>
          <w:szCs w:val="24"/>
        </w:rPr>
        <w:t xml:space="preserve">软件供应商应详细介绍在将来项目中所要采用的项目管理方法和实施方法论，并承诺项目经理和主要实施顾问应跟踪项目实施的全过程，以确保项目实施过程的有效控制。 </w:t>
      </w:r>
    </w:p>
    <w:p>
      <w:pPr>
        <w:pStyle w:val="32"/>
        <w:numPr>
          <w:ilvl w:val="0"/>
          <w:numId w:val="25"/>
        </w:numPr>
        <w:spacing w:line="360" w:lineRule="auto"/>
        <w:ind w:firstLineChars="0"/>
        <w:rPr>
          <w:rFonts w:ascii="宋体" w:hAnsi="宋体"/>
          <w:sz w:val="24"/>
          <w:szCs w:val="24"/>
        </w:rPr>
      </w:pPr>
      <w:r>
        <w:rPr>
          <w:rFonts w:hint="eastAsia" w:ascii="宋体" w:hAnsi="宋体"/>
          <w:sz w:val="24"/>
          <w:szCs w:val="24"/>
        </w:rPr>
        <w:t xml:space="preserve">软件供应商应就明确提供每个阶段的阶段目标、阶段应交付的成果、验收依据、双方的责任和义务。 </w:t>
      </w:r>
    </w:p>
    <w:p>
      <w:pPr>
        <w:pStyle w:val="32"/>
        <w:numPr>
          <w:ilvl w:val="0"/>
          <w:numId w:val="25"/>
        </w:numPr>
        <w:spacing w:line="360" w:lineRule="auto"/>
        <w:ind w:firstLineChars="0"/>
        <w:rPr>
          <w:rFonts w:ascii="宋体" w:hAnsi="宋体"/>
          <w:sz w:val="24"/>
          <w:szCs w:val="24"/>
        </w:rPr>
      </w:pPr>
      <w:r>
        <w:rPr>
          <w:rFonts w:hint="eastAsia" w:ascii="宋体" w:hAnsi="宋体"/>
          <w:sz w:val="24"/>
          <w:szCs w:val="24"/>
        </w:rPr>
        <w:t xml:space="preserve">软件供应商应详细列出项目实施完毕以后将要提交的所有成果清单，包括应用和文挡等各种形式的成果。 </w:t>
      </w:r>
    </w:p>
    <w:p>
      <w:pPr>
        <w:pStyle w:val="32"/>
        <w:ind w:firstLine="0" w:firstLineChars="0"/>
        <w:rPr>
          <w:b/>
          <w:sz w:val="28"/>
          <w:szCs w:val="28"/>
          <w:lang w:val="zh-CN"/>
        </w:rPr>
      </w:pPr>
      <w:r>
        <w:rPr>
          <w:rFonts w:hint="eastAsia"/>
          <w:b/>
          <w:sz w:val="28"/>
          <w:szCs w:val="28"/>
          <w:lang w:val="zh-CN"/>
        </w:rPr>
        <w:t>3、培训要求</w:t>
      </w:r>
    </w:p>
    <w:p>
      <w:pPr>
        <w:spacing w:line="360" w:lineRule="auto"/>
        <w:ind w:firstLine="480" w:firstLineChars="200"/>
        <w:rPr>
          <w:rFonts w:ascii="宋体" w:hAnsi="宋体"/>
          <w:sz w:val="24"/>
          <w:szCs w:val="24"/>
        </w:rPr>
      </w:pPr>
      <w:r>
        <w:rPr>
          <w:rFonts w:hint="eastAsia" w:ascii="宋体" w:hAnsi="宋体"/>
          <w:sz w:val="24"/>
          <w:szCs w:val="24"/>
        </w:rPr>
        <w:t xml:space="preserve">完整而有系统的培训是项目成功的重要因素。对用户的培训质量将直接影响到项目的建设，并影响到项目后期的维护。培训具体要求如下： </w:t>
      </w:r>
    </w:p>
    <w:p>
      <w:pPr>
        <w:pStyle w:val="32"/>
        <w:numPr>
          <w:ilvl w:val="0"/>
          <w:numId w:val="26"/>
        </w:numPr>
        <w:spacing w:line="360" w:lineRule="auto"/>
        <w:ind w:left="271" w:leftChars="129" w:firstLineChars="0"/>
        <w:rPr>
          <w:rFonts w:ascii="宋体" w:hAnsi="宋体"/>
          <w:sz w:val="24"/>
          <w:szCs w:val="24"/>
        </w:rPr>
      </w:pPr>
      <w:r>
        <w:rPr>
          <w:rFonts w:hint="eastAsia" w:ascii="宋体" w:hAnsi="宋体"/>
          <w:sz w:val="24"/>
          <w:szCs w:val="24"/>
        </w:rPr>
        <w:t xml:space="preserve">软件实施商必须提供系统的培训，完成对用户的知识转移，保证用户全面了解和掌握系统操作功能。 </w:t>
      </w:r>
    </w:p>
    <w:p>
      <w:pPr>
        <w:pStyle w:val="32"/>
        <w:numPr>
          <w:ilvl w:val="0"/>
          <w:numId w:val="26"/>
        </w:numPr>
        <w:spacing w:line="360" w:lineRule="auto"/>
        <w:ind w:left="271" w:leftChars="129" w:firstLineChars="0"/>
        <w:rPr>
          <w:rFonts w:ascii="宋体" w:hAnsi="宋体"/>
          <w:sz w:val="24"/>
          <w:szCs w:val="24"/>
        </w:rPr>
      </w:pPr>
      <w:r>
        <w:rPr>
          <w:rFonts w:hint="eastAsia" w:ascii="宋体" w:hAnsi="宋体"/>
          <w:sz w:val="24"/>
          <w:szCs w:val="24"/>
        </w:rPr>
        <w:t xml:space="preserve">软件服务商为所培训人员提供中文培训资料和讲义等用品，并提供培训后可自行学习查阅的书面的用户手册和系统管理员手册。 </w:t>
      </w:r>
    </w:p>
    <w:p>
      <w:pPr>
        <w:pStyle w:val="32"/>
        <w:numPr>
          <w:ilvl w:val="0"/>
          <w:numId w:val="26"/>
        </w:numPr>
        <w:spacing w:line="360" w:lineRule="auto"/>
        <w:ind w:left="271" w:leftChars="129" w:firstLineChars="0"/>
        <w:rPr>
          <w:rFonts w:ascii="宋体" w:hAnsi="宋体"/>
          <w:sz w:val="24"/>
          <w:szCs w:val="24"/>
        </w:rPr>
      </w:pPr>
      <w:r>
        <w:rPr>
          <w:rFonts w:hint="eastAsia" w:ascii="宋体" w:hAnsi="宋体"/>
          <w:sz w:val="24"/>
          <w:szCs w:val="24"/>
        </w:rPr>
        <w:t xml:space="preserve">软件实施商为用户提供详细的培训计划。 </w:t>
      </w:r>
    </w:p>
    <w:p>
      <w:pPr>
        <w:pStyle w:val="32"/>
        <w:numPr>
          <w:ilvl w:val="0"/>
          <w:numId w:val="26"/>
        </w:numPr>
        <w:spacing w:line="360" w:lineRule="auto"/>
        <w:ind w:left="271" w:leftChars="129" w:firstLineChars="0"/>
        <w:rPr>
          <w:rFonts w:ascii="宋体" w:hAnsi="宋体"/>
          <w:sz w:val="24"/>
          <w:szCs w:val="24"/>
        </w:rPr>
      </w:pPr>
      <w:r>
        <w:rPr>
          <w:rFonts w:hint="eastAsia" w:ascii="宋体" w:hAnsi="宋体"/>
          <w:sz w:val="24"/>
          <w:szCs w:val="24"/>
        </w:rPr>
        <w:t xml:space="preserve">培训形式采取集中培训和单独辅导的形式，对全系统 ERP 系统管理员、业务骨干及系统的运行维护人员进行培训。 </w:t>
      </w:r>
    </w:p>
    <w:p>
      <w:pPr>
        <w:pStyle w:val="32"/>
        <w:numPr>
          <w:ilvl w:val="0"/>
          <w:numId w:val="25"/>
        </w:numPr>
        <w:spacing w:line="360" w:lineRule="auto"/>
        <w:ind w:left="271" w:leftChars="129" w:firstLineChars="0"/>
        <w:rPr>
          <w:rFonts w:ascii="宋体" w:hAnsi="宋体"/>
          <w:sz w:val="24"/>
          <w:szCs w:val="24"/>
        </w:rPr>
      </w:pPr>
      <w:r>
        <w:rPr>
          <w:rFonts w:hint="eastAsia" w:ascii="宋体" w:hAnsi="宋体"/>
          <w:sz w:val="24"/>
          <w:szCs w:val="24"/>
        </w:rPr>
        <w:t>培训内容包括 ERP 系统的结构、功能、流程、数据、系统安装、运行维护、系统配置、最终用户的操作以及开发工具的使用等。</w:t>
      </w:r>
    </w:p>
    <w:p>
      <w:pPr>
        <w:pStyle w:val="32"/>
        <w:ind w:firstLine="0" w:firstLineChars="0"/>
        <w:rPr>
          <w:b/>
          <w:sz w:val="28"/>
          <w:szCs w:val="28"/>
          <w:lang w:val="zh-CN"/>
        </w:rPr>
      </w:pPr>
      <w:r>
        <w:rPr>
          <w:b/>
          <w:sz w:val="28"/>
          <w:szCs w:val="28"/>
          <w:lang w:val="zh-CN"/>
        </w:rPr>
        <w:t>4</w:t>
      </w:r>
      <w:r>
        <w:rPr>
          <w:rFonts w:hint="eastAsia"/>
          <w:b/>
          <w:sz w:val="28"/>
          <w:szCs w:val="28"/>
          <w:lang w:val="zh-CN"/>
        </w:rPr>
        <w:t>、文档要求</w:t>
      </w:r>
    </w:p>
    <w:p>
      <w:pPr>
        <w:spacing w:line="360" w:lineRule="auto"/>
        <w:rPr>
          <w:rFonts w:ascii="宋体" w:hAnsi="宋体"/>
          <w:sz w:val="24"/>
          <w:szCs w:val="24"/>
        </w:rPr>
      </w:pPr>
      <w:r>
        <w:rPr>
          <w:rFonts w:hint="eastAsia" w:ascii="宋体" w:hAnsi="宋体"/>
          <w:sz w:val="24"/>
          <w:szCs w:val="24"/>
        </w:rPr>
        <w:t>本项目各阶段的文档，主要包括以下内容：</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开发及实施方案或总体设计文档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各模块详细设计报告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项目阶段计划及工作报告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项目需求说明书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软件测试报告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产品手册（用户手册、管理员手册）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系统维护文档 </w:t>
      </w:r>
    </w:p>
    <w:p>
      <w:pPr>
        <w:pStyle w:val="32"/>
        <w:numPr>
          <w:ilvl w:val="0"/>
          <w:numId w:val="27"/>
        </w:numPr>
        <w:spacing w:line="360" w:lineRule="auto"/>
        <w:ind w:firstLineChars="0"/>
        <w:rPr>
          <w:rFonts w:ascii="宋体" w:hAnsi="宋体"/>
          <w:sz w:val="24"/>
          <w:szCs w:val="24"/>
        </w:rPr>
      </w:pPr>
      <w:r>
        <w:rPr>
          <w:rFonts w:hint="eastAsia" w:ascii="宋体" w:hAnsi="宋体"/>
          <w:sz w:val="24"/>
          <w:szCs w:val="24"/>
        </w:rPr>
        <w:t xml:space="preserve">培训计划、培训课件 </w:t>
      </w:r>
    </w:p>
    <w:p>
      <w:pPr>
        <w:pStyle w:val="32"/>
        <w:ind w:firstLine="0" w:firstLineChars="0"/>
        <w:rPr>
          <w:b/>
          <w:sz w:val="28"/>
          <w:szCs w:val="28"/>
          <w:lang w:val="zh-CN"/>
        </w:rPr>
      </w:pPr>
      <w:r>
        <w:rPr>
          <w:b/>
          <w:sz w:val="28"/>
          <w:szCs w:val="28"/>
          <w:lang w:val="zh-CN"/>
        </w:rPr>
        <w:t>5</w:t>
      </w:r>
      <w:r>
        <w:rPr>
          <w:rFonts w:hint="eastAsia"/>
          <w:b/>
          <w:sz w:val="28"/>
          <w:szCs w:val="28"/>
          <w:lang w:val="zh-CN"/>
        </w:rPr>
        <w:t>、项目验收</w:t>
      </w:r>
    </w:p>
    <w:p>
      <w:pPr>
        <w:spacing w:line="360" w:lineRule="auto"/>
        <w:ind w:firstLine="480" w:firstLineChars="200"/>
        <w:rPr>
          <w:rFonts w:ascii="宋体" w:hAnsi="宋体"/>
          <w:sz w:val="24"/>
          <w:szCs w:val="24"/>
        </w:rPr>
      </w:pPr>
      <w:r>
        <w:rPr>
          <w:rFonts w:hint="eastAsia" w:ascii="宋体" w:hAnsi="宋体"/>
          <w:sz w:val="24"/>
          <w:szCs w:val="24"/>
        </w:rPr>
        <w:t xml:space="preserve">系统达到预定设计目标，系统功能完善并能够满足系统目标的运行需求，系统运行稳定，性能达到预定要求，才能进行项目总体验收 </w:t>
      </w:r>
    </w:p>
    <w:p>
      <w:pPr>
        <w:pStyle w:val="32"/>
        <w:numPr>
          <w:ilvl w:val="0"/>
          <w:numId w:val="28"/>
        </w:numPr>
        <w:spacing w:line="360" w:lineRule="auto"/>
        <w:ind w:firstLineChars="0"/>
        <w:rPr>
          <w:rFonts w:ascii="宋体" w:hAnsi="宋体"/>
          <w:sz w:val="24"/>
          <w:szCs w:val="24"/>
        </w:rPr>
      </w:pPr>
      <w:r>
        <w:rPr>
          <w:rFonts w:hint="eastAsia" w:ascii="宋体" w:hAnsi="宋体"/>
          <w:sz w:val="24"/>
          <w:szCs w:val="24"/>
        </w:rPr>
        <w:t xml:space="preserve">验收依据 应符合中标方与招标方签订的软件实施合同及其附件的要求。 </w:t>
      </w:r>
    </w:p>
    <w:p>
      <w:pPr>
        <w:pStyle w:val="32"/>
        <w:numPr>
          <w:ilvl w:val="0"/>
          <w:numId w:val="28"/>
        </w:numPr>
        <w:spacing w:line="360" w:lineRule="auto"/>
        <w:ind w:firstLineChars="0"/>
        <w:rPr>
          <w:rFonts w:ascii="宋体" w:hAnsi="宋体"/>
          <w:sz w:val="24"/>
          <w:szCs w:val="24"/>
        </w:rPr>
      </w:pPr>
      <w:r>
        <w:rPr>
          <w:rFonts w:hint="eastAsia" w:ascii="宋体" w:hAnsi="宋体"/>
          <w:sz w:val="24"/>
          <w:szCs w:val="24"/>
        </w:rPr>
        <w:t xml:space="preserve">验收方式 验收前由中标方提出书面申请，由招标方组织相关单位和部门人员，按照验收内容的要求，先根据中标方提供的测试计划和测试大纲进行测试，并提交详细的《系统总结报告》，对系统进行评价确定系统是否能投入正常的运行。由招标方组织会议对项目成果进行最终评审。 </w:t>
      </w:r>
    </w:p>
    <w:p>
      <w:pPr>
        <w:pStyle w:val="3"/>
        <w:widowControl/>
        <w:numPr>
          <w:ilvl w:val="1"/>
          <w:numId w:val="19"/>
        </w:numPr>
        <w:spacing w:before="120" w:after="120" w:line="360" w:lineRule="auto"/>
        <w:jc w:val="left"/>
        <w:rPr>
          <w:lang w:val="zh-CN" w:eastAsia="zh-CN"/>
        </w:rPr>
      </w:pPr>
      <w:bookmarkStart w:id="47" w:name="_Toc22565954"/>
      <w:r>
        <w:rPr>
          <w:rFonts w:hint="eastAsia"/>
          <w:lang w:val="zh-CN" w:eastAsia="zh-CN"/>
        </w:rPr>
        <w:t>技术支持及服务保障</w:t>
      </w:r>
      <w:bookmarkEnd w:id="47"/>
    </w:p>
    <w:p>
      <w:pPr>
        <w:spacing w:line="360" w:lineRule="auto"/>
        <w:ind w:firstLine="480" w:firstLineChars="200"/>
        <w:rPr>
          <w:rFonts w:ascii="宋体" w:hAnsi="宋体"/>
          <w:sz w:val="24"/>
          <w:szCs w:val="24"/>
        </w:rPr>
      </w:pPr>
      <w:r>
        <w:rPr>
          <w:rFonts w:hint="eastAsia" w:ascii="宋体" w:hAnsi="宋体"/>
          <w:sz w:val="24"/>
          <w:szCs w:val="24"/>
        </w:rPr>
        <w:t xml:space="preserve">优质完善的技术支持和售后服务是项目保持强劲生命力的有力保障，本项目要求投标人有良好的售后服务体系和保障能力，要求服务请求易联络、反应速度快、提供的解决方案切实可行。具体要求包括但不限于以下内容： </w:t>
      </w:r>
    </w:p>
    <w:p>
      <w:pPr>
        <w:pStyle w:val="32"/>
        <w:numPr>
          <w:ilvl w:val="0"/>
          <w:numId w:val="29"/>
        </w:numPr>
        <w:spacing w:line="360" w:lineRule="auto"/>
        <w:ind w:firstLineChars="0"/>
        <w:rPr>
          <w:rFonts w:ascii="宋体" w:hAnsi="宋体"/>
          <w:sz w:val="24"/>
          <w:szCs w:val="24"/>
        </w:rPr>
      </w:pPr>
      <w:r>
        <w:rPr>
          <w:rFonts w:hint="eastAsia" w:ascii="宋体" w:hAnsi="宋体"/>
          <w:sz w:val="24"/>
          <w:szCs w:val="24"/>
        </w:rPr>
        <w:t xml:space="preserve">投标人应提供详细的服务计划和服务承诺。在服务计划中要从服务人员配置、服务流程、服务文档种类、服务响应时间等几个方面进行明确的说明。 </w:t>
      </w:r>
    </w:p>
    <w:p>
      <w:pPr>
        <w:pStyle w:val="32"/>
        <w:numPr>
          <w:ilvl w:val="0"/>
          <w:numId w:val="29"/>
        </w:numPr>
        <w:spacing w:line="360" w:lineRule="auto"/>
        <w:ind w:firstLineChars="0"/>
        <w:rPr>
          <w:rFonts w:ascii="宋体" w:hAnsi="宋体"/>
          <w:sz w:val="24"/>
          <w:szCs w:val="24"/>
        </w:rPr>
      </w:pPr>
      <w:r>
        <w:rPr>
          <w:rFonts w:hint="eastAsia" w:ascii="宋体" w:hAnsi="宋体"/>
          <w:sz w:val="24"/>
          <w:szCs w:val="24"/>
        </w:rPr>
        <w:t xml:space="preserve">投标人须提供至少 2 年质量保证期的免费维护和技术支持。 </w:t>
      </w:r>
    </w:p>
    <w:p>
      <w:pPr>
        <w:pStyle w:val="32"/>
        <w:numPr>
          <w:ilvl w:val="0"/>
          <w:numId w:val="29"/>
        </w:numPr>
        <w:spacing w:line="360" w:lineRule="auto"/>
        <w:ind w:firstLineChars="0"/>
        <w:rPr>
          <w:rFonts w:ascii="宋体" w:hAnsi="宋体"/>
          <w:sz w:val="24"/>
          <w:szCs w:val="24"/>
        </w:rPr>
      </w:pPr>
      <w:r>
        <w:rPr>
          <w:rFonts w:hint="eastAsia" w:ascii="宋体" w:hAnsi="宋体"/>
          <w:sz w:val="24"/>
          <w:szCs w:val="24"/>
        </w:rPr>
        <w:t xml:space="preserve">具有 7×24 小时的技术支持能力以及优先服务级别。 </w:t>
      </w:r>
    </w:p>
    <w:p>
      <w:pPr>
        <w:pStyle w:val="32"/>
        <w:numPr>
          <w:ilvl w:val="0"/>
          <w:numId w:val="29"/>
        </w:numPr>
        <w:spacing w:line="360" w:lineRule="auto"/>
        <w:ind w:firstLineChars="0"/>
        <w:rPr>
          <w:rFonts w:ascii="宋体" w:hAnsi="宋体"/>
          <w:sz w:val="24"/>
          <w:szCs w:val="24"/>
        </w:rPr>
      </w:pPr>
      <w:r>
        <w:rPr>
          <w:rFonts w:hint="eastAsia" w:ascii="宋体" w:hAnsi="宋体"/>
          <w:sz w:val="24"/>
          <w:szCs w:val="24"/>
        </w:rPr>
        <w:t xml:space="preserve">技术支持的方式包括：远程技术服务（提供如：800/400 免费技术服务热线，网络远程监控）、现场技术服务、定期巡查服务、技术升级服务等，主要以现场技术服务为主。 </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numPr>
          <w:ilvl w:val="0"/>
          <w:numId w:val="1"/>
        </w:numPr>
        <w:ind w:firstLine="643" w:firstLineChars="200"/>
        <w:jc w:val="center"/>
        <w:outlineLvl w:val="0"/>
        <w:rPr>
          <w:rFonts w:ascii="宋体" w:hAnsi="宋体"/>
          <w:b/>
          <w:sz w:val="32"/>
          <w:szCs w:val="32"/>
        </w:rPr>
      </w:pPr>
      <w:bookmarkStart w:id="48" w:name="_Toc22122857"/>
      <w:bookmarkStart w:id="49" w:name="_Toc22565955"/>
      <w:r>
        <w:rPr>
          <w:rFonts w:hint="eastAsia" w:ascii="宋体" w:hAnsi="宋体"/>
          <w:b/>
          <w:sz w:val="32"/>
          <w:szCs w:val="32"/>
        </w:rPr>
        <w:t>总体要求及报价说明</w:t>
      </w:r>
      <w:bookmarkEnd w:id="48"/>
      <w:bookmarkEnd w:id="49"/>
    </w:p>
    <w:p>
      <w:pPr>
        <w:ind w:firstLine="420"/>
        <w:rPr>
          <w:b/>
          <w:sz w:val="28"/>
          <w:szCs w:val="28"/>
        </w:rPr>
      </w:pPr>
      <w:r>
        <w:rPr>
          <w:rFonts w:hint="eastAsia"/>
          <w:b/>
          <w:sz w:val="28"/>
          <w:szCs w:val="28"/>
        </w:rPr>
        <w:t>本次项目比选软件系统包含农投良品信息化系统</w:t>
      </w:r>
    </w:p>
    <w:p>
      <w:pPr>
        <w:ind w:firstLine="420"/>
        <w:rPr>
          <w:b/>
          <w:sz w:val="28"/>
          <w:szCs w:val="28"/>
        </w:rPr>
      </w:pPr>
      <w:bookmarkStart w:id="50" w:name="_Toc470817719"/>
      <w:bookmarkStart w:id="51" w:name="_Toc467575613"/>
      <w:bookmarkStart w:id="52" w:name="_Toc467581764"/>
      <w:r>
        <w:rPr>
          <w:rFonts w:hint="eastAsia"/>
          <w:b/>
          <w:sz w:val="28"/>
          <w:szCs w:val="28"/>
        </w:rPr>
        <w:t>项目报价</w:t>
      </w:r>
      <w:bookmarkEnd w:id="50"/>
      <w:bookmarkEnd w:id="51"/>
      <w:bookmarkEnd w:id="52"/>
      <w:r>
        <w:rPr>
          <w:rFonts w:hint="eastAsia"/>
          <w:b/>
          <w:sz w:val="28"/>
          <w:szCs w:val="28"/>
        </w:rPr>
        <w:t>按照以下内容进行报价：</w:t>
      </w:r>
    </w:p>
    <w:p>
      <w:pPr>
        <w:pStyle w:val="32"/>
        <w:numPr>
          <w:ilvl w:val="0"/>
          <w:numId w:val="30"/>
        </w:numPr>
        <w:spacing w:line="360" w:lineRule="auto"/>
        <w:ind w:firstLineChars="0"/>
        <w:rPr>
          <w:sz w:val="24"/>
          <w:szCs w:val="24"/>
          <w:lang w:val="zh-CN"/>
        </w:rPr>
      </w:pPr>
      <w:r>
        <w:rPr>
          <w:rFonts w:hint="eastAsia"/>
          <w:sz w:val="24"/>
          <w:szCs w:val="24"/>
          <w:lang w:val="zh-CN"/>
        </w:rPr>
        <w:t>产品费用：应包含集团化ERP、电商订单处理中心、全渠道供应商分发结算中心及APP、门店零售系统（门店30个）、渠道订货平台、全渠道会员中心、电子发票等版块；ERP要求公有云部署，模块涵盖财务核算、供应链管理、费用预算与费用报销，合并报表、内部交易，生产管理，BOM表管理，按60用户计算；OA系统用户按照60个并发数计算且要求是泛微或者致远大型办公软件，（例如：致远 A6+版本）。（产品包括软件版本与模块费用明细清单）</w:t>
      </w:r>
    </w:p>
    <w:p>
      <w:pPr>
        <w:pStyle w:val="32"/>
        <w:numPr>
          <w:ilvl w:val="0"/>
          <w:numId w:val="30"/>
        </w:numPr>
        <w:spacing w:line="360" w:lineRule="auto"/>
        <w:ind w:firstLineChars="0"/>
        <w:rPr>
          <w:sz w:val="24"/>
          <w:szCs w:val="24"/>
          <w:lang w:val="zh-CN"/>
        </w:rPr>
      </w:pPr>
      <w:r>
        <w:rPr>
          <w:rFonts w:hint="eastAsia"/>
          <w:sz w:val="24"/>
          <w:szCs w:val="24"/>
          <w:lang w:val="zh-CN"/>
        </w:rPr>
        <w:t>实施费用（按人天）；</w:t>
      </w:r>
    </w:p>
    <w:p>
      <w:pPr>
        <w:pStyle w:val="32"/>
        <w:numPr>
          <w:ilvl w:val="0"/>
          <w:numId w:val="30"/>
        </w:numPr>
        <w:spacing w:line="360" w:lineRule="auto"/>
        <w:ind w:firstLineChars="0"/>
        <w:rPr>
          <w:sz w:val="24"/>
          <w:szCs w:val="24"/>
          <w:lang w:val="zh-CN"/>
        </w:rPr>
      </w:pPr>
      <w:r>
        <w:rPr>
          <w:rFonts w:hint="eastAsia"/>
          <w:sz w:val="24"/>
          <w:szCs w:val="24"/>
          <w:lang w:val="zh-CN"/>
        </w:rPr>
        <w:t>售后服务费用标准；</w:t>
      </w:r>
    </w:p>
    <w:p>
      <w:pPr>
        <w:pStyle w:val="32"/>
        <w:numPr>
          <w:ilvl w:val="0"/>
          <w:numId w:val="30"/>
        </w:numPr>
        <w:spacing w:line="360" w:lineRule="auto"/>
        <w:ind w:firstLineChars="0"/>
        <w:rPr>
          <w:sz w:val="24"/>
          <w:szCs w:val="24"/>
          <w:lang w:val="zh-CN"/>
        </w:rPr>
      </w:pPr>
      <w:r>
        <w:rPr>
          <w:rFonts w:hint="eastAsia"/>
          <w:sz w:val="24"/>
          <w:szCs w:val="24"/>
          <w:lang w:val="zh-CN"/>
        </w:rPr>
        <w:t>开发费用</w:t>
      </w:r>
    </w:p>
    <w:p>
      <w:pPr>
        <w:pStyle w:val="32"/>
        <w:numPr>
          <w:ilvl w:val="0"/>
          <w:numId w:val="30"/>
        </w:numPr>
        <w:spacing w:line="360" w:lineRule="auto"/>
        <w:ind w:firstLineChars="0"/>
        <w:rPr>
          <w:sz w:val="24"/>
          <w:szCs w:val="24"/>
          <w:lang w:val="zh-CN"/>
        </w:rPr>
      </w:pPr>
      <w:r>
        <w:rPr>
          <w:rFonts w:hint="eastAsia"/>
          <w:sz w:val="24"/>
          <w:szCs w:val="24"/>
          <w:lang w:val="zh-CN"/>
        </w:rPr>
        <w:t>增加授权用户费用</w:t>
      </w:r>
    </w:p>
    <w:p>
      <w:pPr>
        <w:pStyle w:val="32"/>
        <w:numPr>
          <w:ilvl w:val="0"/>
          <w:numId w:val="30"/>
        </w:numPr>
        <w:spacing w:line="360" w:lineRule="auto"/>
        <w:ind w:firstLineChars="0"/>
        <w:rPr>
          <w:sz w:val="24"/>
          <w:szCs w:val="24"/>
          <w:lang w:val="zh-CN"/>
        </w:rPr>
      </w:pPr>
      <w:r>
        <w:rPr>
          <w:rFonts w:hint="eastAsia"/>
          <w:sz w:val="24"/>
          <w:szCs w:val="24"/>
          <w:lang w:val="zh-CN"/>
        </w:rPr>
        <w:t>后续云产品年费</w:t>
      </w:r>
    </w:p>
    <w:p>
      <w:pPr>
        <w:pStyle w:val="32"/>
        <w:spacing w:line="360" w:lineRule="auto"/>
        <w:ind w:left="840" w:firstLine="0" w:firstLineChars="0"/>
        <w:rPr>
          <w:sz w:val="24"/>
          <w:szCs w:val="24"/>
          <w:lang w:val="zh-CN"/>
        </w:rPr>
      </w:pPr>
      <w:r>
        <w:rPr>
          <w:rFonts w:hint="eastAsia"/>
          <w:sz w:val="24"/>
          <w:szCs w:val="24"/>
          <w:lang w:val="zh-CN"/>
        </w:rPr>
        <w:t>备注：投标人可单独将详细报价单放入商务部分标内。</w:t>
      </w: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pStyle w:val="32"/>
        <w:spacing w:line="360" w:lineRule="auto"/>
        <w:ind w:left="840" w:firstLine="0" w:firstLineChars="0"/>
        <w:rPr>
          <w:sz w:val="24"/>
          <w:szCs w:val="24"/>
          <w:lang w:val="zh-CN"/>
        </w:rPr>
      </w:pPr>
    </w:p>
    <w:p>
      <w:pPr>
        <w:numPr>
          <w:ilvl w:val="0"/>
          <w:numId w:val="1"/>
        </w:numPr>
        <w:ind w:firstLine="643" w:firstLineChars="200"/>
        <w:jc w:val="center"/>
        <w:outlineLvl w:val="0"/>
        <w:rPr>
          <w:rFonts w:ascii="宋体" w:hAnsi="宋体"/>
          <w:b/>
          <w:sz w:val="32"/>
          <w:szCs w:val="32"/>
        </w:rPr>
      </w:pPr>
      <w:bookmarkStart w:id="53" w:name="_Toc22565956"/>
      <w:bookmarkStart w:id="54" w:name="_Toc22122858"/>
      <w:r>
        <w:rPr>
          <w:rFonts w:hint="eastAsia" w:ascii="宋体" w:hAnsi="宋体"/>
          <w:b/>
          <w:sz w:val="32"/>
          <w:szCs w:val="32"/>
        </w:rPr>
        <w:t>投标格式</w:t>
      </w:r>
      <w:bookmarkEnd w:id="43"/>
      <w:bookmarkEnd w:id="44"/>
      <w:bookmarkEnd w:id="45"/>
      <w:bookmarkEnd w:id="53"/>
      <w:bookmarkEnd w:id="54"/>
    </w:p>
    <w:p>
      <w:pPr>
        <w:spacing w:line="432" w:lineRule="auto"/>
        <w:ind w:firstLine="482" w:firstLineChars="200"/>
        <w:rPr>
          <w:rFonts w:ascii="宋体" w:hAnsi="宋体"/>
          <w:b/>
          <w:sz w:val="24"/>
          <w:szCs w:val="24"/>
        </w:rPr>
      </w:pPr>
      <w:r>
        <w:rPr>
          <w:rFonts w:hint="eastAsia" w:ascii="宋体" w:hAnsi="宋体"/>
          <w:b/>
          <w:sz w:val="24"/>
          <w:szCs w:val="24"/>
        </w:rPr>
        <w:t xml:space="preserve">附件一：                     </w:t>
      </w:r>
    </w:p>
    <w:p>
      <w:pPr>
        <w:spacing w:line="432" w:lineRule="auto"/>
        <w:ind w:firstLine="602" w:firstLineChars="200"/>
        <w:jc w:val="center"/>
        <w:rPr>
          <w:rFonts w:ascii="宋体" w:hAnsi="宋体"/>
          <w:b/>
          <w:sz w:val="30"/>
          <w:szCs w:val="30"/>
        </w:rPr>
      </w:pPr>
      <w:r>
        <w:rPr>
          <w:rFonts w:hint="eastAsia" w:ascii="宋体" w:hAnsi="宋体"/>
          <w:b/>
          <w:sz w:val="30"/>
          <w:szCs w:val="30"/>
        </w:rPr>
        <w:t>参　　选　　函</w:t>
      </w:r>
    </w:p>
    <w:p>
      <w:pPr>
        <w:spacing w:line="432" w:lineRule="auto"/>
        <w:ind w:firstLine="480" w:firstLineChars="200"/>
        <w:rPr>
          <w:rFonts w:ascii="宋体" w:hAnsi="宋体"/>
          <w:sz w:val="24"/>
        </w:rPr>
      </w:pPr>
      <w:r>
        <w:rPr>
          <w:rFonts w:hint="eastAsia" w:ascii="宋体" w:hAnsi="宋体"/>
          <w:sz w:val="24"/>
        </w:rPr>
        <w:t>致：重庆农投良品有限公司</w:t>
      </w:r>
    </w:p>
    <w:p>
      <w:pPr>
        <w:tabs>
          <w:tab w:val="left" w:pos="540"/>
          <w:tab w:val="left" w:pos="1260"/>
        </w:tabs>
        <w:spacing w:line="432" w:lineRule="auto"/>
        <w:ind w:firstLine="480" w:firstLineChars="200"/>
        <w:rPr>
          <w:rFonts w:ascii="宋体" w:hAnsi="宋体"/>
          <w:sz w:val="24"/>
        </w:rPr>
      </w:pPr>
      <w:r>
        <w:rPr>
          <w:rFonts w:hint="eastAsia" w:ascii="宋体" w:hAnsi="宋体"/>
          <w:sz w:val="24"/>
        </w:rPr>
        <w:t>根据贵方项目招标采购的投标邀请，（投标单位全称）授权（姓名和职务）为全权代表，参与招标的有关活动，相关说明和承诺如下：</w:t>
      </w:r>
    </w:p>
    <w:p>
      <w:pPr>
        <w:numPr>
          <w:ilvl w:val="0"/>
          <w:numId w:val="31"/>
        </w:numPr>
        <w:tabs>
          <w:tab w:val="left" w:pos="540"/>
        </w:tabs>
        <w:spacing w:line="432" w:lineRule="auto"/>
        <w:ind w:left="0" w:firstLine="480" w:firstLineChars="200"/>
        <w:rPr>
          <w:rFonts w:ascii="宋体" w:hAnsi="宋体"/>
          <w:sz w:val="24"/>
        </w:rPr>
      </w:pPr>
      <w:r>
        <w:rPr>
          <w:rFonts w:hint="eastAsia" w:ascii="宋体" w:hAnsi="宋体"/>
          <w:sz w:val="24"/>
        </w:rPr>
        <w:t>提供投标相关事宜规定的全部投标文件，正本1份，副本</w:t>
      </w:r>
      <w:r>
        <w:rPr>
          <w:rFonts w:ascii="宋体" w:hAnsi="宋体"/>
          <w:sz w:val="24"/>
        </w:rPr>
        <w:t>2</w:t>
      </w:r>
      <w:r>
        <w:rPr>
          <w:rFonts w:hint="eastAsia" w:ascii="宋体" w:hAnsi="宋体"/>
          <w:sz w:val="24"/>
        </w:rPr>
        <w:t>份：</w:t>
      </w:r>
    </w:p>
    <w:p>
      <w:pPr>
        <w:numPr>
          <w:ilvl w:val="0"/>
          <w:numId w:val="31"/>
        </w:numPr>
        <w:tabs>
          <w:tab w:val="left" w:pos="540"/>
        </w:tabs>
        <w:spacing w:line="432" w:lineRule="auto"/>
        <w:ind w:left="0" w:firstLine="480" w:firstLineChars="200"/>
        <w:rPr>
          <w:rFonts w:ascii="宋体" w:hAnsi="宋体"/>
          <w:sz w:val="24"/>
        </w:rPr>
      </w:pPr>
      <w:r>
        <w:rPr>
          <w:rFonts w:hint="eastAsia" w:ascii="宋体" w:hAnsi="宋体"/>
          <w:sz w:val="24"/>
        </w:rPr>
        <w:t>交货期为合同生效后的</w:t>
      </w:r>
      <w:r>
        <w:rPr>
          <w:rFonts w:hint="eastAsia" w:ascii="宋体" w:hAnsi="宋体"/>
          <w:color w:val="FF0000"/>
          <w:sz w:val="24"/>
        </w:rPr>
        <w:t>15天内。</w:t>
      </w:r>
    </w:p>
    <w:p>
      <w:pPr>
        <w:numPr>
          <w:ilvl w:val="0"/>
          <w:numId w:val="31"/>
        </w:numPr>
        <w:tabs>
          <w:tab w:val="left" w:pos="540"/>
        </w:tabs>
        <w:spacing w:line="432" w:lineRule="auto"/>
        <w:ind w:left="0" w:firstLine="480" w:firstLineChars="200"/>
        <w:rPr>
          <w:rFonts w:ascii="宋体" w:hAnsi="宋体"/>
          <w:sz w:val="24"/>
        </w:rPr>
      </w:pPr>
      <w:r>
        <w:rPr>
          <w:rFonts w:hint="eastAsia" w:ascii="宋体" w:hAnsi="宋体"/>
          <w:sz w:val="24"/>
        </w:rPr>
        <w:t>我们将按招标文件的规定，承担完成合同规定的责任和义务。</w:t>
      </w:r>
    </w:p>
    <w:p>
      <w:pPr>
        <w:numPr>
          <w:ilvl w:val="0"/>
          <w:numId w:val="31"/>
        </w:numPr>
        <w:tabs>
          <w:tab w:val="left" w:pos="540"/>
        </w:tabs>
        <w:spacing w:line="432" w:lineRule="auto"/>
        <w:ind w:left="0" w:firstLine="480" w:firstLineChars="200"/>
        <w:rPr>
          <w:rFonts w:ascii="宋体" w:hAnsi="宋体"/>
          <w:sz w:val="24"/>
        </w:rPr>
      </w:pPr>
      <w:r>
        <w:rPr>
          <w:rFonts w:hint="eastAsia" w:ascii="宋体" w:hAnsi="宋体"/>
          <w:sz w:val="24"/>
        </w:rPr>
        <w:t>我们已详细审核了全部招标文件及有关附件，包括招标文件的修改通知。</w:t>
      </w:r>
    </w:p>
    <w:p>
      <w:pPr>
        <w:numPr>
          <w:ilvl w:val="0"/>
          <w:numId w:val="31"/>
        </w:numPr>
        <w:spacing w:line="432" w:lineRule="auto"/>
        <w:ind w:left="0" w:firstLine="480" w:firstLineChars="200"/>
        <w:rPr>
          <w:rFonts w:ascii="宋体" w:hAnsi="宋体"/>
          <w:sz w:val="24"/>
        </w:rPr>
      </w:pPr>
      <w:r>
        <w:rPr>
          <w:rFonts w:hint="eastAsia" w:ascii="宋体" w:hAnsi="宋体"/>
          <w:sz w:val="24"/>
        </w:rPr>
        <w:t>我们同意在招标文件规定的投标截止日起遵循本投标文件的规定，并在招标文件规定的投标有效期届满之前对我方具有约束力。</w:t>
      </w:r>
    </w:p>
    <w:p>
      <w:pPr>
        <w:numPr>
          <w:ilvl w:val="0"/>
          <w:numId w:val="31"/>
        </w:numPr>
        <w:spacing w:line="432" w:lineRule="auto"/>
        <w:ind w:left="0" w:firstLine="480" w:firstLineChars="200"/>
        <w:rPr>
          <w:rFonts w:ascii="宋体" w:hAnsi="宋体"/>
          <w:sz w:val="24"/>
        </w:rPr>
      </w:pPr>
      <w:r>
        <w:rPr>
          <w:rFonts w:hint="eastAsia" w:ascii="宋体" w:hAnsi="宋体"/>
          <w:sz w:val="24"/>
        </w:rPr>
        <w:t>如果贵方有要求，我们愿意进一步提供与本投标有关的任何证据或资料。</w:t>
      </w:r>
    </w:p>
    <w:p>
      <w:pPr>
        <w:numPr>
          <w:ilvl w:val="0"/>
          <w:numId w:val="31"/>
        </w:numPr>
        <w:spacing w:line="432" w:lineRule="auto"/>
        <w:ind w:left="0" w:firstLine="480" w:firstLineChars="200"/>
        <w:rPr>
          <w:rFonts w:ascii="宋体" w:hAnsi="宋体"/>
          <w:sz w:val="24"/>
        </w:rPr>
      </w:pPr>
      <w:r>
        <w:rPr>
          <w:rFonts w:hint="eastAsia" w:ascii="宋体" w:hAnsi="宋体"/>
          <w:sz w:val="24"/>
        </w:rPr>
        <w:t>投标有效期：自投标截止之日起</w:t>
      </w:r>
      <w:r>
        <w:rPr>
          <w:rFonts w:hint="eastAsia" w:ascii="宋体" w:hAnsi="宋体"/>
          <w:color w:val="FF0000"/>
          <w:sz w:val="24"/>
        </w:rPr>
        <w:t>5个工作日</w:t>
      </w:r>
      <w:r>
        <w:rPr>
          <w:rFonts w:hint="eastAsia" w:ascii="宋体" w:hAnsi="宋体"/>
          <w:color w:val="000000"/>
          <w:sz w:val="24"/>
        </w:rPr>
        <w:t>。</w:t>
      </w:r>
    </w:p>
    <w:p>
      <w:pPr>
        <w:spacing w:line="432" w:lineRule="auto"/>
        <w:ind w:firstLine="480" w:firstLineChars="200"/>
        <w:rPr>
          <w:rFonts w:ascii="宋体" w:hAnsi="宋体"/>
          <w:sz w:val="24"/>
        </w:rPr>
      </w:pPr>
    </w:p>
    <w:p>
      <w:pPr>
        <w:spacing w:line="432" w:lineRule="auto"/>
        <w:ind w:firstLine="480" w:firstLineChars="200"/>
        <w:rPr>
          <w:rFonts w:ascii="宋体" w:hAnsi="宋体"/>
          <w:sz w:val="24"/>
        </w:rPr>
      </w:pPr>
      <w:r>
        <w:rPr>
          <w:rFonts w:hint="eastAsia" w:ascii="宋体" w:hAnsi="宋体"/>
          <w:sz w:val="24"/>
        </w:rPr>
        <w:t>投标单位名称：（公章）</w:t>
      </w:r>
    </w:p>
    <w:p>
      <w:pPr>
        <w:spacing w:line="432" w:lineRule="auto"/>
        <w:ind w:firstLine="480" w:firstLineChars="200"/>
        <w:rPr>
          <w:rFonts w:ascii="宋体" w:hAnsi="宋体"/>
          <w:sz w:val="24"/>
        </w:rPr>
      </w:pPr>
      <w:r>
        <w:rPr>
          <w:rFonts w:hint="eastAsia" w:ascii="宋体" w:hAnsi="宋体"/>
          <w:sz w:val="24"/>
        </w:rPr>
        <w:t>投标单位全权代表签字：</w:t>
      </w:r>
    </w:p>
    <w:p>
      <w:pPr>
        <w:tabs>
          <w:tab w:val="left" w:pos="540"/>
        </w:tabs>
        <w:spacing w:line="432" w:lineRule="auto"/>
        <w:ind w:firstLine="480" w:firstLineChars="200"/>
        <w:rPr>
          <w:rFonts w:ascii="宋体" w:hAnsi="宋体"/>
          <w:sz w:val="24"/>
        </w:rPr>
      </w:pPr>
      <w:r>
        <w:rPr>
          <w:rFonts w:hint="eastAsia" w:ascii="宋体" w:hAnsi="宋体"/>
          <w:sz w:val="24"/>
        </w:rPr>
        <w:t xml:space="preserve">   年    月   日</w:t>
      </w:r>
    </w:p>
    <w:p>
      <w:pPr>
        <w:rPr>
          <w:b/>
          <w:sz w:val="24"/>
          <w:szCs w:val="24"/>
        </w:rPr>
      </w:pPr>
      <w:r>
        <w:rPr>
          <w:b/>
          <w:sz w:val="32"/>
          <w:szCs w:val="32"/>
        </w:rPr>
        <w:br w:type="page"/>
      </w:r>
      <w:r>
        <w:rPr>
          <w:rFonts w:hint="eastAsia"/>
          <w:b/>
          <w:sz w:val="24"/>
          <w:szCs w:val="24"/>
        </w:rPr>
        <w:t>附件二</w:t>
      </w:r>
    </w:p>
    <w:p>
      <w:pPr>
        <w:autoSpaceDE w:val="0"/>
        <w:autoSpaceDN w:val="0"/>
        <w:adjustRightInd w:val="0"/>
        <w:spacing w:before="4" w:line="600" w:lineRule="exact"/>
        <w:ind w:right="306"/>
        <w:jc w:val="center"/>
        <w:rPr>
          <w:rFonts w:ascii="宋体" w:hAnsi="宋体"/>
          <w:b/>
          <w:kern w:val="0"/>
          <w:sz w:val="28"/>
        </w:rPr>
      </w:pPr>
      <w:r>
        <w:rPr>
          <w:rFonts w:hint="eastAsia" w:ascii="宋体" w:hAnsi="宋体"/>
          <w:b/>
          <w:kern w:val="0"/>
          <w:sz w:val="28"/>
        </w:rPr>
        <w:t>法定代表人资格证明书</w:t>
      </w:r>
    </w:p>
    <w:p>
      <w:pPr>
        <w:spacing w:line="660" w:lineRule="exact"/>
        <w:ind w:right="-8"/>
        <w:rPr>
          <w:rFonts w:ascii="宋体" w:hAnsi="宋体"/>
        </w:rPr>
      </w:pPr>
    </w:p>
    <w:p>
      <w:pPr>
        <w:spacing w:line="660" w:lineRule="exact"/>
        <w:ind w:right="-8"/>
        <w:rPr>
          <w:rFonts w:ascii="宋体" w:hAnsi="宋体"/>
          <w:sz w:val="24"/>
        </w:rPr>
      </w:pPr>
      <w:r>
        <w:rPr>
          <w:rFonts w:hint="eastAsia" w:ascii="宋体" w:hAnsi="宋体"/>
          <w:sz w:val="24"/>
        </w:rPr>
        <w:t>投标单位名称：</w:t>
      </w:r>
    </w:p>
    <w:p>
      <w:pPr>
        <w:spacing w:line="660" w:lineRule="exact"/>
        <w:ind w:right="-8"/>
        <w:rPr>
          <w:rFonts w:ascii="宋体" w:hAnsi="宋体"/>
          <w:sz w:val="24"/>
        </w:rPr>
      </w:pPr>
    </w:p>
    <w:p>
      <w:pPr>
        <w:spacing w:line="660" w:lineRule="exact"/>
        <w:ind w:right="-8"/>
        <w:rPr>
          <w:rFonts w:ascii="宋体" w:hAnsi="宋体"/>
          <w:sz w:val="24"/>
        </w:rPr>
      </w:pPr>
      <w:r>
        <w:rPr>
          <w:rFonts w:hint="eastAsia" w:ascii="宋体" w:hAnsi="宋体"/>
          <w:sz w:val="24"/>
        </w:rPr>
        <w:t>单位地址：</w:t>
      </w:r>
    </w:p>
    <w:p>
      <w:pPr>
        <w:spacing w:line="660" w:lineRule="exact"/>
        <w:ind w:right="-8"/>
        <w:rPr>
          <w:rFonts w:ascii="宋体" w:hAnsi="宋体"/>
          <w:sz w:val="24"/>
        </w:rPr>
      </w:pPr>
    </w:p>
    <w:p>
      <w:pPr>
        <w:spacing w:line="660" w:lineRule="exact"/>
        <w:ind w:right="-8"/>
        <w:rPr>
          <w:rFonts w:ascii="宋体" w:hAnsi="宋体"/>
          <w:sz w:val="24"/>
        </w:rPr>
      </w:pPr>
      <w:r>
        <w:rPr>
          <w:rFonts w:hint="eastAsia" w:ascii="宋体" w:hAnsi="宋体"/>
          <w:sz w:val="24"/>
        </w:rPr>
        <w:t>姓名：          性别：        年龄：         职务：</w:t>
      </w:r>
    </w:p>
    <w:p>
      <w:pPr>
        <w:spacing w:line="660" w:lineRule="exact"/>
        <w:ind w:right="-8"/>
        <w:rPr>
          <w:rFonts w:ascii="宋体" w:hAnsi="宋体"/>
          <w:sz w:val="24"/>
        </w:rPr>
      </w:pPr>
    </w:p>
    <w:p>
      <w:pPr>
        <w:spacing w:line="660" w:lineRule="exact"/>
        <w:ind w:left="2" w:right="-8" w:firstLine="560"/>
        <w:rPr>
          <w:rFonts w:ascii="宋体" w:hAnsi="宋体"/>
          <w:sz w:val="24"/>
        </w:rPr>
      </w:pPr>
      <w:r>
        <w:rPr>
          <w:rFonts w:hint="eastAsia" w:ascii="宋体" w:hAnsi="宋体"/>
          <w:sz w:val="24"/>
        </w:rPr>
        <w:t>该同志系法定代表人。</w:t>
      </w:r>
    </w:p>
    <w:p>
      <w:pPr>
        <w:spacing w:line="660" w:lineRule="exact"/>
        <w:ind w:right="-8"/>
        <w:rPr>
          <w:rFonts w:ascii="宋体" w:hAnsi="宋体"/>
          <w:sz w:val="24"/>
        </w:rPr>
      </w:pPr>
      <w:r>
        <w:rPr>
          <w:rFonts w:hint="eastAsia" w:ascii="宋体" w:hAnsi="宋体"/>
          <w:sz w:val="24"/>
        </w:rPr>
        <w:t xml:space="preserve">    特此证明。</w:t>
      </w:r>
    </w:p>
    <w:p>
      <w:pPr>
        <w:spacing w:line="660" w:lineRule="exact"/>
        <w:ind w:right="-8"/>
        <w:rPr>
          <w:rFonts w:ascii="宋体" w:hAnsi="宋体"/>
          <w:sz w:val="24"/>
        </w:rPr>
      </w:pPr>
    </w:p>
    <w:p>
      <w:pPr>
        <w:spacing w:line="660" w:lineRule="exact"/>
        <w:ind w:right="-8" w:firstLine="480" w:firstLineChars="200"/>
        <w:rPr>
          <w:rFonts w:ascii="宋体" w:hAnsi="宋体"/>
          <w:sz w:val="24"/>
        </w:rPr>
      </w:pPr>
      <w:r>
        <w:rPr>
          <w:rFonts w:hint="eastAsia" w:ascii="宋体" w:hAnsi="宋体"/>
          <w:sz w:val="24"/>
        </w:rPr>
        <w:t>投标单位：                                  （盖章）</w:t>
      </w:r>
    </w:p>
    <w:p>
      <w:pPr>
        <w:tabs>
          <w:tab w:val="center" w:pos="4153"/>
        </w:tabs>
        <w:spacing w:line="360" w:lineRule="auto"/>
        <w:jc w:val="center"/>
        <w:rPr>
          <w:rFonts w:ascii="宋体" w:hAnsi="宋体"/>
          <w:b/>
          <w:sz w:val="30"/>
          <w:szCs w:val="30"/>
        </w:rPr>
      </w:pPr>
    </w:p>
    <w:p>
      <w:pPr>
        <w:tabs>
          <w:tab w:val="center" w:pos="4153"/>
        </w:tabs>
        <w:spacing w:line="360" w:lineRule="auto"/>
        <w:ind w:firstLine="475" w:firstLineChars="198"/>
        <w:rPr>
          <w:rFonts w:ascii="宋体" w:hAnsi="宋体"/>
          <w:sz w:val="24"/>
        </w:rPr>
      </w:pPr>
      <w:r>
        <w:rPr>
          <w:rFonts w:hint="eastAsia" w:ascii="宋体" w:hAnsi="宋体"/>
          <w:sz w:val="24"/>
        </w:rPr>
        <w:t>法人签字：</w:t>
      </w:r>
    </w:p>
    <w:p>
      <w:pPr>
        <w:tabs>
          <w:tab w:val="center" w:pos="4153"/>
        </w:tabs>
        <w:spacing w:line="360" w:lineRule="auto"/>
        <w:jc w:val="center"/>
        <w:rPr>
          <w:rFonts w:ascii="宋体" w:hAnsi="宋体"/>
          <w:b/>
          <w:sz w:val="30"/>
          <w:szCs w:val="30"/>
        </w:rPr>
      </w:pPr>
    </w:p>
    <w:p>
      <w:pPr>
        <w:tabs>
          <w:tab w:val="center" w:pos="4153"/>
        </w:tabs>
        <w:spacing w:line="360" w:lineRule="auto"/>
        <w:jc w:val="center"/>
        <w:rPr>
          <w:rFonts w:ascii="宋体" w:hAnsi="宋体"/>
          <w:sz w:val="30"/>
          <w:szCs w:val="30"/>
        </w:rPr>
      </w:pPr>
    </w:p>
    <w:p>
      <w:pPr>
        <w:tabs>
          <w:tab w:val="center" w:pos="4153"/>
        </w:tabs>
        <w:spacing w:line="360" w:lineRule="auto"/>
        <w:rPr>
          <w:rFonts w:ascii="宋体" w:hAnsi="宋体"/>
          <w:sz w:val="24"/>
          <w:szCs w:val="24"/>
        </w:rPr>
      </w:pPr>
      <w:r>
        <w:rPr>
          <w:rFonts w:hint="eastAsia" w:ascii="宋体" w:hAnsi="宋体"/>
          <w:sz w:val="24"/>
          <w:szCs w:val="24"/>
        </w:rPr>
        <w:t xml:space="preserve">  （附：法人身份证复印件）</w:t>
      </w:r>
    </w:p>
    <w:p>
      <w:pPr>
        <w:tabs>
          <w:tab w:val="center" w:pos="4153"/>
        </w:tabs>
        <w:spacing w:line="360" w:lineRule="auto"/>
        <w:jc w:val="right"/>
        <w:rPr>
          <w:rFonts w:ascii="宋体" w:hAnsi="宋体"/>
          <w:b/>
          <w:sz w:val="30"/>
          <w:szCs w:val="30"/>
        </w:rPr>
      </w:pPr>
      <w:r>
        <w:rPr>
          <w:rFonts w:hint="eastAsia" w:ascii="宋体" w:hAnsi="宋体"/>
          <w:sz w:val="24"/>
        </w:rPr>
        <w:t xml:space="preserve">                      年     月     日</w:t>
      </w:r>
    </w:p>
    <w:p>
      <w:pPr>
        <w:autoSpaceDE w:val="0"/>
        <w:autoSpaceDN w:val="0"/>
        <w:adjustRightInd w:val="0"/>
        <w:spacing w:before="4" w:line="600" w:lineRule="exact"/>
        <w:ind w:right="306"/>
        <w:rPr>
          <w:rFonts w:ascii="宋体" w:hAnsi="宋体"/>
          <w:b/>
          <w:kern w:val="0"/>
          <w:sz w:val="24"/>
          <w:szCs w:val="24"/>
        </w:rPr>
      </w:pPr>
      <w:r>
        <w:rPr>
          <w:rFonts w:ascii="宋体" w:hAnsi="宋体"/>
          <w:b/>
          <w:kern w:val="0"/>
          <w:sz w:val="32"/>
          <w:szCs w:val="32"/>
        </w:rPr>
        <w:br w:type="page"/>
      </w:r>
      <w:r>
        <w:rPr>
          <w:rFonts w:hint="eastAsia" w:ascii="宋体" w:hAnsi="宋体"/>
          <w:b/>
          <w:kern w:val="0"/>
          <w:sz w:val="24"/>
          <w:szCs w:val="24"/>
        </w:rPr>
        <w:t>附件三</w:t>
      </w:r>
    </w:p>
    <w:p>
      <w:pPr>
        <w:tabs>
          <w:tab w:val="center" w:pos="4153"/>
        </w:tabs>
        <w:spacing w:line="360" w:lineRule="auto"/>
        <w:jc w:val="center"/>
        <w:rPr>
          <w:rFonts w:ascii="宋体" w:hAnsi="宋体"/>
          <w:b/>
          <w:sz w:val="30"/>
          <w:szCs w:val="30"/>
        </w:rPr>
      </w:pPr>
      <w:r>
        <w:rPr>
          <w:rFonts w:hint="eastAsia" w:ascii="宋体" w:hAnsi="宋体"/>
          <w:b/>
          <w:sz w:val="30"/>
          <w:szCs w:val="30"/>
        </w:rPr>
        <w:t>法人代表授权委托书</w:t>
      </w:r>
    </w:p>
    <w:p>
      <w:pPr>
        <w:tabs>
          <w:tab w:val="center" w:pos="4153"/>
        </w:tabs>
        <w:spacing w:line="360" w:lineRule="auto"/>
        <w:jc w:val="center"/>
        <w:rPr>
          <w:rFonts w:ascii="宋体" w:hAnsi="宋体"/>
          <w:sz w:val="24"/>
        </w:rPr>
      </w:pPr>
    </w:p>
    <w:p>
      <w:pPr>
        <w:tabs>
          <w:tab w:val="center" w:pos="4153"/>
        </w:tabs>
        <w:spacing w:line="360" w:lineRule="auto"/>
        <w:rPr>
          <w:rFonts w:ascii="宋体" w:hAnsi="宋体"/>
          <w:sz w:val="24"/>
          <w:szCs w:val="24"/>
        </w:rPr>
      </w:pPr>
      <w:r>
        <w:rPr>
          <w:rFonts w:hint="eastAsia" w:ascii="宋体" w:hAnsi="宋体"/>
          <w:sz w:val="24"/>
          <w:szCs w:val="24"/>
        </w:rPr>
        <w:t>致：重庆农投良品有限公司</w:t>
      </w:r>
    </w:p>
    <w:p>
      <w:pPr>
        <w:tabs>
          <w:tab w:val="center" w:pos="4153"/>
        </w:tabs>
        <w:spacing w:line="360" w:lineRule="auto"/>
        <w:ind w:left="210" w:leftChars="100" w:firstLine="1274" w:firstLineChars="531"/>
        <w:rPr>
          <w:rFonts w:ascii="宋体" w:hAnsi="宋体"/>
          <w:sz w:val="24"/>
          <w:szCs w:val="24"/>
          <w:u w:val="single"/>
        </w:rPr>
      </w:pPr>
      <w:r>
        <w:rPr>
          <w:rFonts w:hint="eastAsia" w:ascii="宋体" w:hAnsi="宋体"/>
          <w:sz w:val="24"/>
          <w:szCs w:val="24"/>
          <w:u w:val="single"/>
        </w:rPr>
        <w:t xml:space="preserve">                              （</w:t>
      </w:r>
      <w:r>
        <w:rPr>
          <w:rFonts w:hint="eastAsia" w:ascii="宋体" w:hAnsi="宋体"/>
          <w:sz w:val="24"/>
          <w:szCs w:val="24"/>
        </w:rPr>
        <w:t>投标单位全称）法人代表</w:t>
      </w:r>
    </w:p>
    <w:p>
      <w:pPr>
        <w:tabs>
          <w:tab w:val="center" w:pos="4153"/>
        </w:tabs>
        <w:spacing w:line="360" w:lineRule="auto"/>
        <w:ind w:firstLine="1274" w:firstLineChars="531"/>
        <w:rPr>
          <w:rFonts w:ascii="宋体" w:hAnsi="宋体"/>
          <w:sz w:val="24"/>
          <w:szCs w:val="24"/>
        </w:rPr>
      </w:pPr>
      <w:r>
        <w:rPr>
          <w:rFonts w:hint="eastAsia" w:ascii="宋体" w:hAnsi="宋体"/>
          <w:sz w:val="24"/>
          <w:szCs w:val="24"/>
        </w:rPr>
        <w:t>授权（全权代表姓名）为全权代表，参加贵方组织的招标活动，全权处理招标活动中的一切事宜。</w:t>
      </w:r>
    </w:p>
    <w:p>
      <w:pPr>
        <w:spacing w:line="660" w:lineRule="exact"/>
        <w:ind w:right="-8" w:firstLine="1274" w:firstLineChars="531"/>
        <w:rPr>
          <w:rFonts w:ascii="宋体" w:hAnsi="宋体"/>
          <w:sz w:val="24"/>
          <w:szCs w:val="24"/>
        </w:rPr>
      </w:pPr>
      <w:r>
        <w:rPr>
          <w:rFonts w:hint="eastAsia" w:ascii="宋体" w:hAnsi="宋体"/>
          <w:sz w:val="24"/>
          <w:szCs w:val="24"/>
        </w:rPr>
        <w:t>附：（授权代表身份证复印件）</w:t>
      </w:r>
    </w:p>
    <w:p>
      <w:pPr>
        <w:spacing w:line="660" w:lineRule="exact"/>
        <w:ind w:right="-8" w:firstLine="1274" w:firstLineChars="531"/>
        <w:rPr>
          <w:rFonts w:ascii="宋体" w:hAnsi="宋体"/>
          <w:sz w:val="24"/>
          <w:szCs w:val="24"/>
        </w:rPr>
      </w:pPr>
    </w:p>
    <w:p>
      <w:pPr>
        <w:spacing w:line="660" w:lineRule="exact"/>
        <w:ind w:right="-8" w:firstLine="1274" w:firstLineChars="531"/>
        <w:rPr>
          <w:rFonts w:ascii="宋体" w:hAnsi="宋体"/>
          <w:sz w:val="24"/>
          <w:szCs w:val="24"/>
        </w:rPr>
      </w:pPr>
      <w:r>
        <w:rPr>
          <w:rFonts w:hint="eastAsia" w:ascii="宋体" w:hAnsi="宋体"/>
          <w:sz w:val="24"/>
          <w:szCs w:val="24"/>
        </w:rPr>
        <w:t>法定代表人：（签字、盖章）</w:t>
      </w:r>
    </w:p>
    <w:p>
      <w:pPr>
        <w:spacing w:line="660" w:lineRule="exact"/>
        <w:ind w:right="-8" w:firstLine="1274" w:firstLineChars="531"/>
        <w:rPr>
          <w:rFonts w:ascii="宋体" w:hAnsi="宋体"/>
          <w:sz w:val="24"/>
          <w:szCs w:val="24"/>
        </w:rPr>
      </w:pPr>
      <w:r>
        <w:rPr>
          <w:rFonts w:hint="eastAsia" w:ascii="宋体" w:hAnsi="宋体"/>
          <w:sz w:val="24"/>
          <w:szCs w:val="24"/>
        </w:rPr>
        <w:t>代理人：（签字）</w:t>
      </w:r>
    </w:p>
    <w:p>
      <w:pPr>
        <w:spacing w:line="660" w:lineRule="exact"/>
        <w:ind w:right="-8" w:firstLine="1274" w:firstLineChars="531"/>
        <w:rPr>
          <w:rFonts w:ascii="宋体" w:hAnsi="宋体"/>
          <w:sz w:val="24"/>
          <w:szCs w:val="24"/>
        </w:rPr>
      </w:pPr>
      <w:r>
        <w:rPr>
          <w:rFonts w:hint="eastAsia" w:ascii="宋体" w:hAnsi="宋体"/>
          <w:sz w:val="24"/>
          <w:szCs w:val="24"/>
        </w:rPr>
        <w:t>投标单位：（盖章）</w:t>
      </w:r>
    </w:p>
    <w:p>
      <w:pPr>
        <w:spacing w:line="660" w:lineRule="exact"/>
        <w:ind w:right="-8" w:firstLine="1274" w:firstLineChars="531"/>
        <w:rPr>
          <w:rFonts w:ascii="宋体" w:hAnsi="宋体"/>
          <w:sz w:val="24"/>
          <w:szCs w:val="24"/>
        </w:rPr>
      </w:pPr>
      <w:r>
        <w:rPr>
          <w:rFonts w:hint="eastAsia" w:ascii="宋体" w:hAnsi="宋体"/>
          <w:sz w:val="24"/>
          <w:szCs w:val="24"/>
        </w:rPr>
        <w:t>日期：         年        月        日</w:t>
      </w:r>
    </w:p>
    <w:p>
      <w:pPr>
        <w:spacing w:line="660" w:lineRule="exact"/>
        <w:ind w:right="-8" w:firstLine="1274" w:firstLineChars="531"/>
        <w:rPr>
          <w:rFonts w:ascii="宋体" w:hAnsi="宋体"/>
          <w:sz w:val="24"/>
          <w:szCs w:val="24"/>
        </w:rPr>
      </w:pPr>
    </w:p>
    <w:p>
      <w:pPr>
        <w:spacing w:line="660" w:lineRule="exact"/>
        <w:ind w:right="-8" w:firstLine="1274" w:firstLineChars="531"/>
        <w:rPr>
          <w:rFonts w:ascii="宋体" w:hAnsi="宋体"/>
          <w:sz w:val="24"/>
          <w:szCs w:val="24"/>
          <w:u w:val="single"/>
        </w:rPr>
      </w:pPr>
      <w:r>
        <w:rPr>
          <w:rFonts w:hint="eastAsia" w:ascii="宋体" w:hAnsi="宋体"/>
          <w:sz w:val="24"/>
          <w:szCs w:val="24"/>
        </w:rPr>
        <w:t>全权代表姓名：</w:t>
      </w:r>
    </w:p>
    <w:p>
      <w:pPr>
        <w:spacing w:line="660" w:lineRule="exact"/>
        <w:ind w:right="-8" w:firstLine="1274" w:firstLineChars="531"/>
        <w:rPr>
          <w:rFonts w:ascii="宋体" w:hAnsi="宋体"/>
          <w:sz w:val="24"/>
          <w:szCs w:val="24"/>
          <w:u w:val="single"/>
        </w:rPr>
      </w:pPr>
      <w:r>
        <w:rPr>
          <w:rFonts w:hint="eastAsia" w:ascii="宋体" w:hAnsi="宋体"/>
          <w:sz w:val="24"/>
          <w:szCs w:val="24"/>
        </w:rPr>
        <w:t>职        务：</w:t>
      </w:r>
    </w:p>
    <w:p>
      <w:pPr>
        <w:spacing w:line="660" w:lineRule="exact"/>
        <w:ind w:right="-8" w:firstLine="1274" w:firstLineChars="531"/>
        <w:rPr>
          <w:rFonts w:ascii="宋体" w:hAnsi="宋体"/>
          <w:sz w:val="24"/>
          <w:szCs w:val="24"/>
          <w:u w:val="single"/>
        </w:rPr>
      </w:pPr>
      <w:r>
        <w:rPr>
          <w:rFonts w:hint="eastAsia" w:ascii="宋体" w:hAnsi="宋体"/>
          <w:sz w:val="24"/>
          <w:szCs w:val="24"/>
        </w:rPr>
        <w:t>详细通讯地址：</w:t>
      </w:r>
    </w:p>
    <w:p>
      <w:pPr>
        <w:spacing w:line="660" w:lineRule="exact"/>
        <w:ind w:right="-8" w:firstLine="1274" w:firstLineChars="531"/>
        <w:rPr>
          <w:rFonts w:ascii="宋体" w:hAnsi="宋体"/>
          <w:sz w:val="24"/>
          <w:szCs w:val="24"/>
          <w:u w:val="single"/>
        </w:rPr>
      </w:pPr>
      <w:r>
        <w:rPr>
          <w:rFonts w:hint="eastAsia" w:ascii="宋体" w:hAnsi="宋体"/>
          <w:sz w:val="24"/>
          <w:szCs w:val="24"/>
        </w:rPr>
        <w:t xml:space="preserve">邮 政 编 码： </w:t>
      </w:r>
    </w:p>
    <w:p>
      <w:pPr>
        <w:spacing w:line="660" w:lineRule="exact"/>
        <w:ind w:right="-8" w:firstLine="1274" w:firstLineChars="531"/>
        <w:rPr>
          <w:rFonts w:ascii="宋体" w:hAnsi="宋体"/>
          <w:sz w:val="24"/>
          <w:szCs w:val="24"/>
          <w:u w:val="single"/>
        </w:rPr>
      </w:pPr>
      <w:r>
        <w:rPr>
          <w:rFonts w:hint="eastAsia" w:ascii="宋体" w:hAnsi="宋体"/>
          <w:sz w:val="24"/>
          <w:szCs w:val="24"/>
        </w:rPr>
        <w:t>电        话：</w:t>
      </w:r>
    </w:p>
    <w:p>
      <w:pPr>
        <w:spacing w:line="660" w:lineRule="exact"/>
        <w:ind w:right="-8" w:firstLine="1274" w:firstLineChars="531"/>
        <w:rPr>
          <w:rFonts w:ascii="宋体" w:hAnsi="宋体"/>
          <w:sz w:val="24"/>
          <w:szCs w:val="24"/>
          <w:u w:val="single"/>
        </w:rPr>
      </w:pPr>
      <w:r>
        <w:rPr>
          <w:rFonts w:hint="eastAsia" w:ascii="宋体" w:hAnsi="宋体"/>
          <w:sz w:val="24"/>
          <w:szCs w:val="24"/>
        </w:rPr>
        <w:t>传        真：</w:t>
      </w:r>
    </w:p>
    <w:p>
      <w:pPr>
        <w:spacing w:line="660" w:lineRule="exact"/>
        <w:ind w:right="-8" w:firstLine="1274" w:firstLineChars="531"/>
        <w:rPr>
          <w:rFonts w:ascii="宋体" w:hAnsi="宋体"/>
          <w:sz w:val="24"/>
          <w:szCs w:val="24"/>
          <w:u w:val="single"/>
        </w:rPr>
      </w:pPr>
    </w:p>
    <w:p>
      <w:pPr>
        <w:spacing w:line="660" w:lineRule="exact"/>
        <w:ind w:right="-8" w:firstLine="1274" w:firstLineChars="531"/>
        <w:rPr>
          <w:rFonts w:ascii="宋体" w:hAnsi="宋体"/>
          <w:sz w:val="24"/>
          <w:szCs w:val="24"/>
          <w:u w:val="single"/>
        </w:rPr>
      </w:pPr>
    </w:p>
    <w:p>
      <w:pPr>
        <w:ind w:firstLine="335" w:firstLineChars="139"/>
        <w:rPr>
          <w:rFonts w:ascii="仿宋" w:hAnsi="仿宋" w:eastAsia="仿宋"/>
          <w:b/>
          <w:bCs/>
          <w:sz w:val="36"/>
          <w:szCs w:val="36"/>
        </w:rPr>
      </w:pPr>
      <w:r>
        <w:rPr>
          <w:rFonts w:hint="eastAsia" w:ascii="宋体" w:hAnsi="宋体"/>
          <w:b/>
          <w:kern w:val="0"/>
          <w:sz w:val="24"/>
          <w:szCs w:val="24"/>
        </w:rPr>
        <w:t>附件四</w:t>
      </w:r>
    </w:p>
    <w:p>
      <w:pPr>
        <w:tabs>
          <w:tab w:val="center" w:pos="4153"/>
        </w:tabs>
        <w:spacing w:line="360" w:lineRule="auto"/>
        <w:jc w:val="center"/>
        <w:rPr>
          <w:rFonts w:ascii="仿宋" w:hAnsi="仿宋" w:eastAsia="仿宋"/>
          <w:b/>
          <w:bCs/>
          <w:sz w:val="36"/>
          <w:szCs w:val="36"/>
        </w:rPr>
      </w:pPr>
      <w:r>
        <w:rPr>
          <w:rFonts w:hint="eastAsia" w:ascii="宋体" w:hAnsi="宋体"/>
          <w:b/>
          <w:sz w:val="30"/>
          <w:szCs w:val="30"/>
        </w:rPr>
        <w:t>重庆农投良品有限公司项目报价单</w:t>
      </w:r>
    </w:p>
    <w:tbl>
      <w:tblPr>
        <w:tblStyle w:val="22"/>
        <w:tblpPr w:leftFromText="180" w:rightFromText="180" w:vertAnchor="text" w:horzAnchor="page" w:tblpXSpec="center" w:tblpY="654"/>
        <w:tblOverlap w:val="never"/>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670"/>
        <w:gridCol w:w="1970"/>
        <w:gridCol w:w="1984"/>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430" w:type="dxa"/>
            <w:vAlign w:val="center"/>
          </w:tcPr>
          <w:p>
            <w:pPr>
              <w:jc w:val="center"/>
              <w:rPr>
                <w:rFonts w:ascii="宋体" w:hAnsi="宋体"/>
                <w:sz w:val="24"/>
                <w:szCs w:val="24"/>
              </w:rPr>
            </w:pPr>
            <w:r>
              <w:rPr>
                <w:rFonts w:hint="eastAsia" w:ascii="宋体" w:hAnsi="宋体"/>
                <w:sz w:val="24"/>
                <w:szCs w:val="24"/>
              </w:rPr>
              <w:t>投标单位</w:t>
            </w:r>
          </w:p>
        </w:tc>
        <w:tc>
          <w:tcPr>
            <w:tcW w:w="7590" w:type="dxa"/>
            <w:gridSpan w:val="4"/>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9020" w:type="dxa"/>
            <w:gridSpan w:val="5"/>
            <w:vAlign w:val="center"/>
          </w:tcPr>
          <w:p>
            <w:pPr>
              <w:jc w:val="center"/>
              <w:rPr>
                <w:rFonts w:ascii="宋体" w:hAnsi="宋体"/>
                <w:sz w:val="24"/>
                <w:szCs w:val="24"/>
              </w:rPr>
            </w:pPr>
            <w:r>
              <w:rPr>
                <w:rFonts w:hint="eastAsia" w:ascii="宋体" w:hAnsi="宋体"/>
                <w:sz w:val="24"/>
                <w:szCs w:val="24"/>
              </w:rPr>
              <w:t>报价明细</w:t>
            </w:r>
            <w:r>
              <w:rPr>
                <w:rFonts w:hint="eastAsia" w:ascii="宋体" w:hAnsi="宋体"/>
                <w:color w:val="FF0000"/>
                <w:sz w:val="24"/>
                <w:szCs w:val="24"/>
              </w:rPr>
              <w:t>（本次报价为xx并发或xx用户）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3100" w:type="dxa"/>
            <w:gridSpan w:val="2"/>
            <w:vAlign w:val="center"/>
          </w:tcPr>
          <w:p>
            <w:pPr>
              <w:jc w:val="center"/>
              <w:rPr>
                <w:rFonts w:ascii="宋体" w:hAnsi="宋体"/>
                <w:b/>
                <w:sz w:val="24"/>
                <w:szCs w:val="24"/>
              </w:rPr>
            </w:pPr>
            <w:r>
              <w:rPr>
                <w:rFonts w:hint="eastAsia" w:ascii="宋体" w:hAnsi="宋体"/>
                <w:b/>
                <w:sz w:val="24"/>
                <w:szCs w:val="24"/>
              </w:rPr>
              <w:t>项目名称</w:t>
            </w:r>
          </w:p>
        </w:tc>
        <w:tc>
          <w:tcPr>
            <w:tcW w:w="1970" w:type="dxa"/>
            <w:vAlign w:val="center"/>
          </w:tcPr>
          <w:p>
            <w:pPr>
              <w:jc w:val="center"/>
              <w:rPr>
                <w:rFonts w:ascii="宋体" w:hAnsi="宋体"/>
                <w:b/>
                <w:sz w:val="24"/>
                <w:szCs w:val="24"/>
              </w:rPr>
            </w:pPr>
            <w:r>
              <w:rPr>
                <w:rFonts w:hint="eastAsia" w:ascii="宋体" w:hAnsi="宋体"/>
                <w:b/>
                <w:sz w:val="24"/>
                <w:szCs w:val="24"/>
              </w:rPr>
              <w:t>数量</w:t>
            </w:r>
          </w:p>
        </w:tc>
        <w:tc>
          <w:tcPr>
            <w:tcW w:w="1984" w:type="dxa"/>
            <w:vAlign w:val="center"/>
          </w:tcPr>
          <w:p>
            <w:pPr>
              <w:jc w:val="center"/>
              <w:rPr>
                <w:rFonts w:ascii="宋体" w:hAnsi="宋体"/>
                <w:b/>
                <w:sz w:val="24"/>
                <w:szCs w:val="24"/>
              </w:rPr>
            </w:pPr>
            <w:r>
              <w:rPr>
                <w:rFonts w:hint="eastAsia" w:ascii="宋体" w:hAnsi="宋体"/>
                <w:b/>
                <w:sz w:val="24"/>
                <w:szCs w:val="24"/>
              </w:rPr>
              <w:t>报价</w:t>
            </w:r>
          </w:p>
        </w:tc>
        <w:tc>
          <w:tcPr>
            <w:tcW w:w="1966" w:type="dxa"/>
            <w:vAlign w:val="center"/>
          </w:tcPr>
          <w:p>
            <w:pPr>
              <w:jc w:val="center"/>
              <w:rPr>
                <w:rFonts w:ascii="宋体" w:hAnsi="宋体"/>
                <w:b/>
                <w:sz w:val="24"/>
                <w:szCs w:val="24"/>
              </w:rPr>
            </w:pPr>
            <w:r>
              <w:rPr>
                <w:rFonts w:hint="eastAsia" w:ascii="宋体" w:hAnsi="宋体"/>
                <w:b/>
                <w:sz w:val="24"/>
                <w:szCs w:val="24"/>
              </w:rPr>
              <w:t>备注（版本）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b/>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3100" w:type="dxa"/>
            <w:gridSpan w:val="2"/>
            <w:vAlign w:val="center"/>
          </w:tcPr>
          <w:p>
            <w:pPr>
              <w:rPr>
                <w:rFonts w:ascii="宋体" w:hAnsi="宋体"/>
                <w:sz w:val="24"/>
                <w:szCs w:val="24"/>
              </w:rPr>
            </w:pPr>
          </w:p>
        </w:tc>
        <w:tc>
          <w:tcPr>
            <w:tcW w:w="1970" w:type="dxa"/>
            <w:vAlign w:val="center"/>
          </w:tcPr>
          <w:p>
            <w:pPr>
              <w:rPr>
                <w:rFonts w:ascii="宋体" w:hAnsi="宋体"/>
                <w:sz w:val="24"/>
                <w:szCs w:val="24"/>
              </w:rPr>
            </w:pPr>
          </w:p>
        </w:tc>
        <w:tc>
          <w:tcPr>
            <w:tcW w:w="1984" w:type="dxa"/>
            <w:vAlign w:val="center"/>
          </w:tcPr>
          <w:p>
            <w:pPr>
              <w:rPr>
                <w:rFonts w:ascii="宋体" w:hAnsi="宋体"/>
                <w:sz w:val="24"/>
                <w:szCs w:val="24"/>
              </w:rPr>
            </w:pPr>
          </w:p>
        </w:tc>
        <w:tc>
          <w:tcPr>
            <w:tcW w:w="196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3100" w:type="dxa"/>
            <w:gridSpan w:val="2"/>
            <w:vAlign w:val="center"/>
          </w:tcPr>
          <w:p>
            <w:pPr>
              <w:jc w:val="left"/>
              <w:rPr>
                <w:rFonts w:ascii="宋体" w:hAnsi="宋体"/>
                <w:sz w:val="24"/>
                <w:szCs w:val="24"/>
              </w:rPr>
            </w:pPr>
          </w:p>
        </w:tc>
        <w:tc>
          <w:tcPr>
            <w:tcW w:w="1970" w:type="dxa"/>
            <w:vAlign w:val="center"/>
          </w:tcPr>
          <w:p>
            <w:pPr>
              <w:jc w:val="right"/>
              <w:rPr>
                <w:rFonts w:ascii="宋体" w:hAnsi="宋体"/>
                <w:sz w:val="24"/>
                <w:szCs w:val="24"/>
              </w:rPr>
            </w:pPr>
          </w:p>
        </w:tc>
        <w:tc>
          <w:tcPr>
            <w:tcW w:w="1984" w:type="dxa"/>
            <w:vAlign w:val="center"/>
          </w:tcPr>
          <w:p>
            <w:pPr>
              <w:jc w:val="right"/>
              <w:rPr>
                <w:rFonts w:ascii="宋体" w:hAnsi="宋体"/>
                <w:sz w:val="24"/>
                <w:szCs w:val="24"/>
              </w:rPr>
            </w:pPr>
          </w:p>
        </w:tc>
        <w:tc>
          <w:tcPr>
            <w:tcW w:w="1966" w:type="dxa"/>
            <w:vAlign w:val="center"/>
          </w:tcPr>
          <w:p>
            <w:pPr>
              <w:jc w:val="righ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3100" w:type="dxa"/>
            <w:gridSpan w:val="2"/>
            <w:vAlign w:val="center"/>
          </w:tcPr>
          <w:p>
            <w:pPr>
              <w:jc w:val="center"/>
              <w:rPr>
                <w:rFonts w:ascii="宋体" w:hAnsi="宋体"/>
                <w:sz w:val="24"/>
                <w:szCs w:val="24"/>
              </w:rPr>
            </w:pPr>
            <w:r>
              <w:rPr>
                <w:rFonts w:hint="eastAsia" w:ascii="宋体" w:hAnsi="宋体"/>
                <w:sz w:val="24"/>
                <w:szCs w:val="24"/>
              </w:rPr>
              <w:t>合计金额（人民币元）</w:t>
            </w:r>
          </w:p>
        </w:tc>
        <w:tc>
          <w:tcPr>
            <w:tcW w:w="5920" w:type="dxa"/>
            <w:gridSpan w:val="3"/>
            <w:vAlign w:val="center"/>
          </w:tcPr>
          <w:p>
            <w:pPr>
              <w:jc w:val="righ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jc w:val="center"/>
        </w:trPr>
        <w:tc>
          <w:tcPr>
            <w:tcW w:w="9020" w:type="dxa"/>
            <w:gridSpan w:val="5"/>
          </w:tcPr>
          <w:p>
            <w:pPr>
              <w:rPr>
                <w:rFonts w:ascii="宋体" w:hAnsi="宋体"/>
                <w:sz w:val="24"/>
                <w:szCs w:val="24"/>
              </w:rPr>
            </w:pPr>
            <w:r>
              <w:rPr>
                <w:rFonts w:hint="eastAsia" w:ascii="宋体" w:hAnsi="宋体"/>
                <w:sz w:val="24"/>
                <w:szCs w:val="24"/>
              </w:rPr>
              <w:t>单位名称：（加盖公章）               投标方代表：（签字）</w:t>
            </w:r>
          </w:p>
          <w:p>
            <w:pPr>
              <w:rPr>
                <w:rFonts w:ascii="宋体" w:hAnsi="宋体"/>
                <w:sz w:val="24"/>
                <w:szCs w:val="24"/>
              </w:rPr>
            </w:pPr>
          </w:p>
          <w:p>
            <w:pPr>
              <w:rPr>
                <w:rFonts w:ascii="宋体" w:hAnsi="宋体"/>
                <w:sz w:val="24"/>
                <w:szCs w:val="24"/>
              </w:rPr>
            </w:pPr>
            <w:r>
              <w:rPr>
                <w:rFonts w:hint="eastAsia" w:ascii="宋体" w:hAnsi="宋体"/>
                <w:sz w:val="24"/>
                <w:szCs w:val="24"/>
              </w:rPr>
              <w:t>投标日期：</w:t>
            </w:r>
          </w:p>
          <w:p>
            <w:pPr>
              <w:rPr>
                <w:rFonts w:ascii="宋体" w:hAnsi="宋体"/>
                <w:sz w:val="24"/>
                <w:szCs w:val="24"/>
              </w:rPr>
            </w:pPr>
          </w:p>
        </w:tc>
      </w:tr>
    </w:tbl>
    <w:p/>
    <w:p>
      <w:pPr>
        <w:spacing w:line="660" w:lineRule="exact"/>
        <w:ind w:right="-8" w:firstLine="1274" w:firstLineChars="531"/>
        <w:rPr>
          <w:rFonts w:ascii="宋体" w:hAnsi="宋体"/>
          <w:sz w:val="24"/>
          <w:szCs w:val="24"/>
          <w:u w:val="single"/>
        </w:rPr>
      </w:pPr>
    </w:p>
    <w:p>
      <w:pPr>
        <w:spacing w:line="660" w:lineRule="exact"/>
        <w:ind w:right="-8" w:firstLine="1274" w:firstLineChars="531"/>
        <w:rPr>
          <w:rFonts w:ascii="宋体" w:hAnsi="宋体"/>
          <w:sz w:val="24"/>
          <w:szCs w:val="24"/>
          <w:u w:val="single"/>
        </w:rPr>
      </w:pPr>
    </w:p>
    <w:p>
      <w:pPr>
        <w:ind w:firstLine="335" w:firstLineChars="139"/>
        <w:rPr>
          <w:rFonts w:ascii="宋体" w:hAnsi="宋体"/>
          <w:b/>
          <w:kern w:val="0"/>
          <w:sz w:val="24"/>
          <w:szCs w:val="24"/>
        </w:rPr>
      </w:pPr>
    </w:p>
    <w:p>
      <w:pPr>
        <w:ind w:firstLine="335" w:firstLineChars="139"/>
        <w:rPr>
          <w:rFonts w:ascii="仿宋" w:hAnsi="仿宋" w:eastAsia="仿宋"/>
          <w:b/>
          <w:bCs/>
          <w:sz w:val="36"/>
          <w:szCs w:val="36"/>
        </w:rPr>
      </w:pPr>
      <w:r>
        <w:rPr>
          <w:rFonts w:hint="eastAsia" w:ascii="宋体" w:hAnsi="宋体"/>
          <w:b/>
          <w:kern w:val="0"/>
          <w:sz w:val="24"/>
          <w:szCs w:val="24"/>
        </w:rPr>
        <w:t>附件五</w:t>
      </w:r>
    </w:p>
    <w:p>
      <w:pPr>
        <w:snapToGrid w:val="0"/>
        <w:spacing w:line="600" w:lineRule="exact"/>
        <w:ind w:left="-187" w:leftChars="-203" w:right="-573" w:rightChars="-273" w:hanging="239" w:hangingChars="99"/>
        <w:rPr>
          <w:rFonts w:asciiTheme="minorEastAsia" w:hAnsiTheme="minorEastAsia" w:eastAsiaTheme="minorEastAsia"/>
          <w:b/>
          <w:bCs/>
          <w:snapToGrid w:val="0"/>
          <w:color w:val="000000"/>
          <w:kern w:val="0"/>
          <w:sz w:val="24"/>
          <w:szCs w:val="24"/>
        </w:rPr>
      </w:pPr>
    </w:p>
    <w:tbl>
      <w:tblPr>
        <w:tblStyle w:val="22"/>
        <w:tblW w:w="9766"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参选人名称</w:t>
            </w:r>
          </w:p>
        </w:tc>
        <w:tc>
          <w:tcPr>
            <w:tcW w:w="7786" w:type="dxa"/>
            <w:gridSpan w:val="7"/>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注册地址</w:t>
            </w:r>
          </w:p>
        </w:tc>
        <w:tc>
          <w:tcPr>
            <w:tcW w:w="4132" w:type="dxa"/>
            <w:gridSpan w:val="3"/>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1325"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邮政编码</w:t>
            </w:r>
          </w:p>
        </w:tc>
        <w:tc>
          <w:tcPr>
            <w:tcW w:w="2329" w:type="dxa"/>
            <w:gridSpan w:val="3"/>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980" w:type="dxa"/>
            <w:vMerge w:val="restart"/>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联系方式</w:t>
            </w:r>
          </w:p>
        </w:tc>
        <w:tc>
          <w:tcPr>
            <w:tcW w:w="1077"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3055" w:type="dxa"/>
            <w:gridSpan w:val="2"/>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1325"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2329" w:type="dxa"/>
            <w:gridSpan w:val="3"/>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980" w:type="dxa"/>
            <w:vMerge w:val="continue"/>
            <w:tcBorders>
              <w:tl2br w:val="nil"/>
              <w:tr2bl w:val="nil"/>
            </w:tcBorders>
            <w:vAlign w:val="center"/>
          </w:tcPr>
          <w:p>
            <w:pPr>
              <w:ind w:left="-189" w:leftChars="-203" w:right="-573" w:rightChars="-273" w:hanging="237" w:hangingChars="99"/>
              <w:rPr>
                <w:rFonts w:asciiTheme="minorEastAsia" w:hAnsiTheme="minorEastAsia" w:eastAsiaTheme="minorEastAsia"/>
                <w:sz w:val="24"/>
                <w:szCs w:val="24"/>
              </w:rPr>
            </w:pPr>
          </w:p>
        </w:tc>
        <w:tc>
          <w:tcPr>
            <w:tcW w:w="1077"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3055" w:type="dxa"/>
            <w:gridSpan w:val="2"/>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1325"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网址</w:t>
            </w:r>
          </w:p>
        </w:tc>
        <w:tc>
          <w:tcPr>
            <w:tcW w:w="2329" w:type="dxa"/>
            <w:gridSpan w:val="3"/>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组织结构</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负责人</w:t>
            </w:r>
          </w:p>
        </w:tc>
        <w:tc>
          <w:tcPr>
            <w:tcW w:w="1077"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803" w:type="dxa"/>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1252"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1501" w:type="dxa"/>
            <w:gridSpan w:val="2"/>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723"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1430" w:type="dxa"/>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p>
        </w:tc>
        <w:tc>
          <w:tcPr>
            <w:tcW w:w="2880" w:type="dxa"/>
            <w:gridSpan w:val="2"/>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c>
          <w:tcPr>
            <w:tcW w:w="4906" w:type="dxa"/>
            <w:gridSpan w:val="5"/>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企业资质等级</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营业执照号</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注册资金</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账号</w:t>
            </w:r>
          </w:p>
        </w:tc>
        <w:tc>
          <w:tcPr>
            <w:tcW w:w="7786" w:type="dxa"/>
            <w:gridSpan w:val="7"/>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5"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经营范围</w:t>
            </w:r>
          </w:p>
        </w:tc>
        <w:tc>
          <w:tcPr>
            <w:tcW w:w="7786" w:type="dxa"/>
            <w:gridSpan w:val="7"/>
            <w:tcBorders>
              <w:tl2br w:val="nil"/>
              <w:tr2bl w:val="nil"/>
            </w:tcBorders>
          </w:tcPr>
          <w:p>
            <w:pPr>
              <w:spacing w:line="360" w:lineRule="auto"/>
              <w:ind w:left="-189" w:leftChars="-203" w:right="-573" w:rightChars="-273" w:hanging="237" w:hangingChars="99"/>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0" w:type="dxa"/>
            <w:tcBorders>
              <w:tl2br w:val="nil"/>
              <w:tr2bl w:val="nil"/>
            </w:tcBorders>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c>
          <w:tcPr>
            <w:tcW w:w="7786" w:type="dxa"/>
            <w:gridSpan w:val="7"/>
            <w:tcBorders>
              <w:tl2br w:val="nil"/>
              <w:tr2bl w:val="nil"/>
            </w:tcBorders>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bl>
    <w:p>
      <w:pPr>
        <w:ind w:left="-189" w:leftChars="-203" w:right="-573" w:rightChars="-273" w:hanging="237" w:hangingChars="99"/>
        <w:rPr>
          <w:rFonts w:asciiTheme="minorEastAsia" w:hAnsiTheme="minorEastAsia" w:eastAsiaTheme="minorEastAsia"/>
          <w:sz w:val="24"/>
          <w:szCs w:val="24"/>
        </w:rPr>
      </w:pPr>
      <w:r>
        <w:rPr>
          <w:rFonts w:hint="eastAsia" w:asciiTheme="minorEastAsia" w:hAnsiTheme="minorEastAsia" w:eastAsiaTheme="minorEastAsia"/>
          <w:sz w:val="24"/>
          <w:szCs w:val="24"/>
        </w:rPr>
        <w:t>注：附营业执照（副本）、组织机构代码证复印件等。</w:t>
      </w:r>
    </w:p>
    <w:p>
      <w:pPr>
        <w:spacing w:line="660" w:lineRule="exact"/>
        <w:ind w:right="-8"/>
        <w:rPr>
          <w:rFonts w:ascii="宋体" w:hAnsi="宋体"/>
          <w:sz w:val="24"/>
          <w:szCs w:val="24"/>
          <w:u w:val="single"/>
        </w:rPr>
      </w:pPr>
    </w:p>
    <w:p>
      <w:pPr>
        <w:spacing w:line="660" w:lineRule="exact"/>
        <w:ind w:right="-8"/>
        <w:rPr>
          <w:rFonts w:ascii="宋体" w:hAnsi="宋体"/>
          <w:sz w:val="24"/>
          <w:szCs w:val="24"/>
          <w:u w:val="single"/>
        </w:rPr>
      </w:pPr>
    </w:p>
    <w:p>
      <w:pPr>
        <w:ind w:firstLine="335" w:firstLineChars="139"/>
        <w:rPr>
          <w:rFonts w:ascii="宋体" w:hAnsi="宋体"/>
          <w:b/>
          <w:kern w:val="0"/>
          <w:sz w:val="24"/>
          <w:szCs w:val="24"/>
        </w:rPr>
      </w:pPr>
      <w:r>
        <w:rPr>
          <w:rFonts w:hint="eastAsia" w:ascii="宋体" w:hAnsi="宋体"/>
          <w:b/>
          <w:kern w:val="0"/>
          <w:sz w:val="24"/>
          <w:szCs w:val="24"/>
        </w:rPr>
        <w:t>附件六：报价一览表</w:t>
      </w:r>
    </w:p>
    <w:tbl>
      <w:tblPr>
        <w:tblStyle w:val="22"/>
        <w:tblW w:w="950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2693" w:type="dxa"/>
            <w:vAlign w:val="center"/>
          </w:tcPr>
          <w:p>
            <w:pPr>
              <w:widowControl/>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参选人全称</w:t>
            </w:r>
          </w:p>
        </w:tc>
        <w:tc>
          <w:tcPr>
            <w:tcW w:w="6814" w:type="dxa"/>
          </w:tcPr>
          <w:p>
            <w:pPr>
              <w:widowControl/>
              <w:spacing w:line="276" w:lineRule="auto"/>
              <w:ind w:left="-189" w:leftChars="-203" w:right="-573" w:rightChars="-273" w:hanging="237" w:hangingChars="99"/>
              <w:jc w:val="left"/>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2693" w:type="dxa"/>
            <w:vAlign w:val="center"/>
          </w:tcPr>
          <w:p>
            <w:pPr>
              <w:widowControl/>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项目名称</w:t>
            </w:r>
          </w:p>
        </w:tc>
        <w:tc>
          <w:tcPr>
            <w:tcW w:w="6814" w:type="dxa"/>
            <w:vAlign w:val="center"/>
          </w:tcPr>
          <w:p>
            <w:pPr>
              <w:widowControl/>
              <w:spacing w:line="276" w:lineRule="auto"/>
              <w:ind w:left="-189" w:leftChars="-203" w:right="-573" w:rightChars="-273" w:hanging="237" w:hangingChars="99"/>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6" w:hRule="atLeast"/>
        </w:trPr>
        <w:tc>
          <w:tcPr>
            <w:tcW w:w="2693" w:type="dxa"/>
            <w:vAlign w:val="center"/>
          </w:tcPr>
          <w:p>
            <w:pPr>
              <w:widowControl/>
              <w:spacing w:line="276" w:lineRule="auto"/>
              <w:ind w:left="-189" w:leftChars="-203" w:right="-573" w:rightChars="-273" w:hanging="237" w:hangingChars="99"/>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rPr>
              <w:t>参选报价（元）</w:t>
            </w:r>
          </w:p>
        </w:tc>
        <w:tc>
          <w:tcPr>
            <w:tcW w:w="6814" w:type="dxa"/>
            <w:tcBorders>
              <w:bottom w:val="single" w:color="auto" w:sz="4" w:space="0"/>
            </w:tcBorders>
            <w:vAlign w:val="center"/>
          </w:tcPr>
          <w:p>
            <w:pPr>
              <w:spacing w:line="400" w:lineRule="exact"/>
              <w:ind w:left="36" w:leftChars="16" w:right="325" w:rightChars="155" w:hanging="2" w:hangingChars="1"/>
              <w:rPr>
                <w:rFonts w:asciiTheme="minorEastAsia" w:hAnsiTheme="minorEastAsia" w:eastAsiaTheme="minorEastAsia"/>
                <w:color w:val="000000"/>
                <w:sz w:val="24"/>
                <w:szCs w:val="24"/>
              </w:rPr>
            </w:pPr>
            <w:r>
              <w:rPr>
                <w:rFonts w:asciiTheme="minorEastAsia" w:hAnsiTheme="minorEastAsia" w:eastAsiaTheme="minorEastAsia"/>
                <w:snapToGrid w:val="0"/>
                <w:color w:val="000000"/>
                <w:kern w:val="0"/>
                <w:sz w:val="24"/>
                <w:szCs w:val="24"/>
              </w:rPr>
              <w:t>提供总价格：小写：元；大写：元。如要列举明细报价，请在此栏总价格后予以补充。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5" w:hRule="atLeast"/>
        </w:trPr>
        <w:tc>
          <w:tcPr>
            <w:tcW w:w="2693" w:type="dxa"/>
            <w:vAlign w:val="center"/>
          </w:tcPr>
          <w:p>
            <w:pPr>
              <w:widowControl/>
              <w:spacing w:line="276" w:lineRule="auto"/>
              <w:ind w:left="-191" w:leftChars="-91" w:firstLine="187" w:firstLineChars="78"/>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售后服务及质保承诺</w:t>
            </w:r>
          </w:p>
        </w:tc>
        <w:tc>
          <w:tcPr>
            <w:tcW w:w="6814" w:type="dxa"/>
            <w:vAlign w:val="center"/>
          </w:tcPr>
          <w:p>
            <w:pPr>
              <w:spacing w:line="276" w:lineRule="auto"/>
              <w:ind w:left="-189" w:leftChars="-203" w:right="-573" w:rightChars="-273" w:hanging="237" w:hangingChars="99"/>
              <w:jc w:val="left"/>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693" w:type="dxa"/>
            <w:vAlign w:val="center"/>
          </w:tcPr>
          <w:p>
            <w:pPr>
              <w:spacing w:line="360" w:lineRule="auto"/>
              <w:ind w:left="-189" w:leftChars="-203" w:right="-573" w:rightChars="-273" w:hanging="237" w:hangingChars="99"/>
              <w:jc w:val="center"/>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开具发票类型</w:t>
            </w:r>
          </w:p>
        </w:tc>
        <w:tc>
          <w:tcPr>
            <w:tcW w:w="6814" w:type="dxa"/>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2693" w:type="dxa"/>
            <w:vAlign w:val="center"/>
          </w:tcPr>
          <w:p>
            <w:pPr>
              <w:spacing w:line="360" w:lineRule="auto"/>
              <w:ind w:left="-189" w:leftChars="-203" w:right="-573" w:rightChars="-273" w:hanging="237" w:hangingChars="99"/>
              <w:jc w:val="center"/>
              <w:rPr>
                <w:rFonts w:asciiTheme="minorEastAsia" w:hAnsiTheme="minorEastAsia" w:eastAsiaTheme="minorEastAsia"/>
                <w:snapToGrid w:val="0"/>
                <w:kern w:val="0"/>
                <w:sz w:val="24"/>
                <w:szCs w:val="24"/>
              </w:rPr>
            </w:pPr>
            <w:r>
              <w:rPr>
                <w:rFonts w:asciiTheme="minorEastAsia" w:hAnsiTheme="minorEastAsia" w:eastAsiaTheme="minorEastAsia"/>
                <w:snapToGrid w:val="0"/>
                <w:kern w:val="0"/>
                <w:sz w:val="24"/>
                <w:szCs w:val="24"/>
              </w:rPr>
              <w:t>备注</w:t>
            </w:r>
          </w:p>
        </w:tc>
        <w:tc>
          <w:tcPr>
            <w:tcW w:w="6814" w:type="dxa"/>
            <w:vAlign w:val="center"/>
          </w:tcPr>
          <w:p>
            <w:pPr>
              <w:spacing w:line="360" w:lineRule="auto"/>
              <w:ind w:left="-189" w:leftChars="-203" w:right="-573" w:rightChars="-273" w:hanging="237" w:hangingChars="99"/>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5" w:hRule="atLeast"/>
        </w:trPr>
        <w:tc>
          <w:tcPr>
            <w:tcW w:w="9507" w:type="dxa"/>
            <w:gridSpan w:val="2"/>
            <w:tcBorders>
              <w:bottom w:val="single" w:color="auto" w:sz="4" w:space="0"/>
            </w:tcBorders>
          </w:tcPr>
          <w:p>
            <w:pPr>
              <w:widowControl/>
              <w:spacing w:line="480" w:lineRule="auto"/>
              <w:ind w:left="-191" w:leftChars="-91" w:right="-573" w:rightChars="-273" w:firstLine="328" w:firstLineChars="137"/>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参选人（盖单位公章）：</w:t>
            </w:r>
          </w:p>
          <w:p>
            <w:pPr>
              <w:widowControl/>
              <w:spacing w:line="480" w:lineRule="auto"/>
              <w:ind w:left="-191" w:leftChars="-91" w:right="-573" w:rightChars="-273" w:firstLine="328" w:firstLineChars="137"/>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法定代表人或委托代理人（签字）：</w:t>
            </w:r>
          </w:p>
          <w:p>
            <w:pPr>
              <w:widowControl/>
              <w:spacing w:line="480" w:lineRule="auto"/>
              <w:ind w:left="-191" w:leftChars="-91" w:right="-573" w:rightChars="-273" w:firstLine="328" w:firstLineChars="137"/>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日期：年月日</w:t>
            </w:r>
          </w:p>
        </w:tc>
      </w:tr>
    </w:tbl>
    <w:p>
      <w:pPr>
        <w:snapToGrid w:val="0"/>
        <w:spacing w:line="300" w:lineRule="exact"/>
        <w:ind w:left="-191" w:leftChars="-91" w:right="-573" w:rightChars="-273" w:firstLine="331" w:firstLineChars="138"/>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注：</w:t>
      </w:r>
    </w:p>
    <w:p>
      <w:pPr>
        <w:snapToGrid w:val="0"/>
        <w:spacing w:line="300" w:lineRule="exact"/>
        <w:ind w:left="-191" w:leftChars="-91" w:right="-573" w:rightChars="-273" w:firstLine="331" w:firstLineChars="138"/>
        <w:rPr>
          <w:rFonts w:asciiTheme="minorEastAsia" w:hAnsiTheme="minorEastAsia" w:eastAsiaTheme="minorEastAsia"/>
          <w:snapToGrid w:val="0"/>
          <w:kern w:val="0"/>
          <w:sz w:val="24"/>
          <w:szCs w:val="24"/>
        </w:rPr>
      </w:pPr>
      <w:r>
        <w:rPr>
          <w:rFonts w:asciiTheme="minorEastAsia" w:hAnsiTheme="minorEastAsia" w:eastAsiaTheme="minorEastAsia"/>
          <w:bCs/>
          <w:color w:val="000000"/>
          <w:sz w:val="24"/>
          <w:szCs w:val="24"/>
        </w:rPr>
        <w:t>1.</w:t>
      </w:r>
      <w:r>
        <w:rPr>
          <w:rFonts w:hint="eastAsia" w:asciiTheme="minorEastAsia" w:hAnsiTheme="minorEastAsia" w:eastAsiaTheme="minorEastAsia"/>
          <w:snapToGrid w:val="0"/>
          <w:kern w:val="0"/>
          <w:sz w:val="24"/>
          <w:szCs w:val="24"/>
        </w:rPr>
        <w:t>报价一览表务必填写清楚，准确无误。表格可扩展。</w:t>
      </w:r>
    </w:p>
    <w:p>
      <w:pPr>
        <w:snapToGrid w:val="0"/>
        <w:spacing w:line="300" w:lineRule="exact"/>
        <w:ind w:left="-191" w:leftChars="-91" w:right="-573" w:rightChars="-273" w:firstLine="331" w:firstLineChars="138"/>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2.报价为包干价（包含税费、保险费、技术服务费用等所有一切费用的包干价）。</w:t>
      </w:r>
    </w:p>
    <w:p>
      <w:pPr>
        <w:snapToGrid w:val="0"/>
        <w:spacing w:line="300" w:lineRule="exact"/>
        <w:ind w:left="-191" w:leftChars="-91" w:right="-573" w:rightChars="-273" w:firstLine="331" w:firstLineChars="138"/>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3.若含有多种税率，请注明各自金额比重，否则统一按低税率核算价格得分。</w:t>
      </w:r>
    </w:p>
    <w:p>
      <w:pPr>
        <w:snapToGrid w:val="0"/>
        <w:spacing w:line="300" w:lineRule="exact"/>
        <w:ind w:right="-573" w:rightChars="-273"/>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3" w:firstLineChars="139"/>
        <w:rPr>
          <w:rFonts w:asciiTheme="minorEastAsia" w:hAnsiTheme="minorEastAsia" w:eastAsiaTheme="minorEastAsia"/>
          <w:bCs/>
          <w:color w:val="000000"/>
          <w:sz w:val="24"/>
          <w:szCs w:val="24"/>
        </w:rPr>
      </w:pPr>
    </w:p>
    <w:p>
      <w:pPr>
        <w:ind w:firstLine="335" w:firstLineChars="139"/>
        <w:rPr>
          <w:rFonts w:ascii="宋体" w:hAnsi="宋体"/>
          <w:b/>
          <w:kern w:val="0"/>
          <w:sz w:val="24"/>
          <w:szCs w:val="24"/>
        </w:rPr>
      </w:pPr>
      <w:r>
        <w:rPr>
          <w:rFonts w:hint="eastAsia" w:ascii="宋体" w:hAnsi="宋体"/>
          <w:b/>
          <w:kern w:val="0"/>
          <w:sz w:val="24"/>
          <w:szCs w:val="24"/>
        </w:rPr>
        <w:t>附件七：同行案例</w:t>
      </w:r>
    </w:p>
    <w:tbl>
      <w:tblPr>
        <w:tblStyle w:val="22"/>
        <w:tblW w:w="8505" w:type="dxa"/>
        <w:tblInd w:w="0" w:type="dxa"/>
        <w:tblLayout w:type="fixed"/>
        <w:tblCellMar>
          <w:top w:w="0" w:type="dxa"/>
          <w:left w:w="108" w:type="dxa"/>
          <w:bottom w:w="0" w:type="dxa"/>
          <w:right w:w="108" w:type="dxa"/>
        </w:tblCellMar>
      </w:tblPr>
      <w:tblGrid>
        <w:gridCol w:w="2658"/>
        <w:gridCol w:w="1949"/>
        <w:gridCol w:w="1949"/>
        <w:gridCol w:w="1949"/>
      </w:tblGrid>
      <w:tr>
        <w:tblPrEx>
          <w:tblLayout w:type="fixed"/>
          <w:tblCellMar>
            <w:top w:w="0" w:type="dxa"/>
            <w:left w:w="108" w:type="dxa"/>
            <w:bottom w:w="0" w:type="dxa"/>
            <w:right w:w="108" w:type="dxa"/>
          </w:tblCellMar>
        </w:tblPrEx>
        <w:trPr>
          <w:trHeight w:val="646" w:hRule="atLeast"/>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项目单位</w:t>
            </w:r>
          </w:p>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（采购人）</w:t>
            </w: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r>
      <w:tr>
        <w:tblPrEx>
          <w:tblLayout w:type="fixed"/>
          <w:tblCellMar>
            <w:top w:w="0" w:type="dxa"/>
            <w:left w:w="108" w:type="dxa"/>
            <w:bottom w:w="0" w:type="dxa"/>
            <w:right w:w="108" w:type="dxa"/>
          </w:tblCellMar>
        </w:tblPrEx>
        <w:trPr>
          <w:trHeight w:val="646" w:hRule="atLeast"/>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项目名称</w:t>
            </w: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r>
      <w:tr>
        <w:tblPrEx>
          <w:tblLayout w:type="fixed"/>
          <w:tblCellMar>
            <w:top w:w="0" w:type="dxa"/>
            <w:left w:w="108" w:type="dxa"/>
            <w:bottom w:w="0" w:type="dxa"/>
            <w:right w:w="108" w:type="dxa"/>
          </w:tblCellMar>
        </w:tblPrEx>
        <w:trPr>
          <w:trHeight w:val="646" w:hRule="atLeast"/>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项目规模</w:t>
            </w: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r>
      <w:tr>
        <w:tblPrEx>
          <w:tblLayout w:type="fixed"/>
          <w:tblCellMar>
            <w:top w:w="0" w:type="dxa"/>
            <w:left w:w="108" w:type="dxa"/>
            <w:bottom w:w="0" w:type="dxa"/>
            <w:right w:w="108" w:type="dxa"/>
          </w:tblCellMar>
        </w:tblPrEx>
        <w:trPr>
          <w:trHeight w:val="646" w:hRule="atLeast"/>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项目投入人员</w:t>
            </w: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r>
      <w:tr>
        <w:tblPrEx>
          <w:tblLayout w:type="fixed"/>
          <w:tblCellMar>
            <w:top w:w="0" w:type="dxa"/>
            <w:left w:w="108" w:type="dxa"/>
            <w:bottom w:w="0" w:type="dxa"/>
            <w:right w:w="108" w:type="dxa"/>
          </w:tblCellMar>
        </w:tblPrEx>
        <w:trPr>
          <w:trHeight w:val="646" w:hRule="atLeast"/>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项目周期</w:t>
            </w:r>
          </w:p>
          <w:p>
            <w:pPr>
              <w:topLinePunct/>
              <w:spacing w:line="276" w:lineRule="auto"/>
              <w:ind w:left="-189" w:leftChars="-203" w:right="-573" w:rightChars="-273" w:hanging="237" w:hangingChars="99"/>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（年/月/日至年/月/日）</w:t>
            </w: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left="-189" w:leftChars="-203" w:right="-573" w:rightChars="-273" w:hanging="237" w:hangingChars="99"/>
              <w:rPr>
                <w:rFonts w:asciiTheme="minorEastAsia" w:hAnsiTheme="minorEastAsia" w:eastAsiaTheme="minorEastAsia"/>
                <w:color w:val="000000"/>
                <w:sz w:val="24"/>
                <w:szCs w:val="24"/>
              </w:rPr>
            </w:pPr>
          </w:p>
        </w:tc>
      </w:tr>
    </w:tbl>
    <w:p>
      <w:pPr>
        <w:topLinePunct/>
        <w:spacing w:line="276" w:lineRule="auto"/>
        <w:ind w:left="-191" w:leftChars="-91" w:right="-573" w:rightChars="-273" w:firstLine="187" w:firstLineChars="78"/>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附合同</w:t>
      </w:r>
      <w:r>
        <w:rPr>
          <w:rFonts w:hint="eastAsia" w:asciiTheme="minorEastAsia" w:hAnsiTheme="minorEastAsia" w:eastAsiaTheme="minorEastAsia"/>
          <w:color w:val="000000"/>
          <w:sz w:val="24"/>
          <w:szCs w:val="24"/>
        </w:rPr>
        <w:t>复印件</w:t>
      </w:r>
      <w:r>
        <w:rPr>
          <w:rFonts w:asciiTheme="minorEastAsia" w:hAnsiTheme="minorEastAsia" w:eastAsiaTheme="minorEastAsia"/>
          <w:color w:val="000000"/>
          <w:sz w:val="24"/>
          <w:szCs w:val="24"/>
        </w:rPr>
        <w:t>加盖公章。</w:t>
      </w:r>
    </w:p>
    <w:p>
      <w:pPr>
        <w:spacing w:line="276" w:lineRule="auto"/>
        <w:ind w:left="-191" w:leftChars="-91" w:right="-573" w:rightChars="-273" w:firstLine="187" w:firstLineChars="78"/>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其他能证明业务能力的相关材料也可一并附后。</w:t>
      </w:r>
    </w:p>
    <w:p>
      <w:pPr>
        <w:spacing w:line="276" w:lineRule="auto"/>
        <w:ind w:left="-191" w:leftChars="-91" w:right="-573" w:rightChars="-273" w:firstLine="187" w:firstLineChars="78"/>
        <w:jc w:val="left"/>
        <w:rPr>
          <w:rFonts w:asciiTheme="minorEastAsia" w:hAnsiTheme="minorEastAsia" w:eastAsiaTheme="minorEastAsia"/>
          <w:color w:val="000000"/>
          <w:sz w:val="24"/>
          <w:szCs w:val="24"/>
        </w:rPr>
      </w:pPr>
    </w:p>
    <w:p>
      <w:pPr>
        <w:rPr>
          <w:rFonts w:hint="eastAsia"/>
          <w:b/>
          <w:snapToGrid w:val="0"/>
          <w:sz w:val="24"/>
          <w:szCs w:val="24"/>
        </w:rPr>
      </w:pPr>
      <w:bookmarkStart w:id="55" w:name="_Toc472780356"/>
      <w:bookmarkStart w:id="56" w:name="_Toc378234584"/>
      <w:bookmarkStart w:id="57" w:name="_Toc520457455"/>
      <w:bookmarkStart w:id="58" w:name="_Toc378234770"/>
      <w:bookmarkStart w:id="59" w:name="_Toc478054435"/>
      <w:bookmarkStart w:id="60" w:name="_Toc478053903"/>
      <w:bookmarkStart w:id="61" w:name="_Toc513708834"/>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rFonts w:hint="eastAsia"/>
          <w:b/>
          <w:snapToGrid w:val="0"/>
          <w:sz w:val="24"/>
          <w:szCs w:val="24"/>
        </w:rPr>
      </w:pPr>
    </w:p>
    <w:p>
      <w:pPr>
        <w:rPr>
          <w:b/>
          <w:snapToGrid w:val="0"/>
          <w:sz w:val="24"/>
          <w:szCs w:val="24"/>
        </w:rPr>
      </w:pPr>
      <w:r>
        <w:rPr>
          <w:rFonts w:hint="eastAsia"/>
          <w:b/>
          <w:snapToGrid w:val="0"/>
          <w:sz w:val="24"/>
          <w:szCs w:val="24"/>
        </w:rPr>
        <w:t>附件八：</w:t>
      </w:r>
      <w:r>
        <w:rPr>
          <w:b/>
          <w:snapToGrid w:val="0"/>
          <w:sz w:val="24"/>
          <w:szCs w:val="24"/>
        </w:rPr>
        <w:t>负责</w:t>
      </w:r>
      <w:r>
        <w:rPr>
          <w:rFonts w:hint="eastAsia"/>
          <w:b/>
          <w:snapToGrid w:val="0"/>
          <w:sz w:val="24"/>
          <w:szCs w:val="24"/>
        </w:rPr>
        <w:t>人身份证明及授权委托书</w:t>
      </w:r>
      <w:bookmarkEnd w:id="55"/>
      <w:bookmarkEnd w:id="56"/>
      <w:bookmarkEnd w:id="57"/>
      <w:bookmarkEnd w:id="58"/>
      <w:bookmarkEnd w:id="59"/>
      <w:bookmarkEnd w:id="60"/>
      <w:bookmarkEnd w:id="61"/>
    </w:p>
    <w:p>
      <w:pPr>
        <w:widowControl/>
        <w:ind w:left="-189" w:leftChars="-203" w:right="-573" w:rightChars="-273" w:hanging="237" w:hangingChars="99"/>
        <w:jc w:val="center"/>
        <w:rPr>
          <w:rFonts w:asciiTheme="minorEastAsia" w:hAnsiTheme="minorEastAsia" w:eastAsiaTheme="minorEastAsia"/>
          <w:snapToGrid w:val="0"/>
          <w:kern w:val="0"/>
          <w:sz w:val="24"/>
          <w:szCs w:val="24"/>
        </w:rPr>
      </w:pPr>
    </w:p>
    <w:p>
      <w:pPr>
        <w:widowControl/>
        <w:ind w:right="566" w:firstLine="278" w:firstLineChars="116"/>
        <w:jc w:val="center"/>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法定代表人身份证明书</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项目名称：</w:t>
      </w:r>
      <w:r>
        <w:rPr>
          <w:rFonts w:hint="eastAsia" w:asciiTheme="minorEastAsia" w:hAnsiTheme="minorEastAsia" w:eastAsiaTheme="minorEastAsia"/>
          <w:snapToGrid w:val="0"/>
          <w:kern w:val="0"/>
          <w:sz w:val="24"/>
          <w:szCs w:val="24"/>
          <w:u w:val="single"/>
        </w:rPr>
        <w:t>____________________</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u w:val="single"/>
        </w:rPr>
      </w:pPr>
      <w:r>
        <w:rPr>
          <w:rFonts w:hint="eastAsia" w:asciiTheme="minorEastAsia" w:hAnsiTheme="minorEastAsia" w:eastAsiaTheme="minorEastAsia"/>
          <w:snapToGrid w:val="0"/>
          <w:kern w:val="0"/>
          <w:sz w:val="24"/>
          <w:szCs w:val="24"/>
        </w:rPr>
        <w:t>致：</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（负责人姓名）在（参选人名称）任（职务名称）职务，是（参选人名称）的负责人。</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特此证明。</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（参选人公章）</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年月日</w:t>
      </w:r>
    </w:p>
    <w:p>
      <w:pPr>
        <w:tabs>
          <w:tab w:val="left" w:pos="6300"/>
        </w:tabs>
        <w:snapToGrid w:val="0"/>
        <w:spacing w:line="500" w:lineRule="exact"/>
        <w:ind w:right="566"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（附：法定代表人身份证正反面复印件）</w:t>
      </w: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firstLine="279" w:firstLineChars="116"/>
        <w:jc w:val="left"/>
        <w:rPr>
          <w:rFonts w:hint="eastAsia" w:asciiTheme="minorEastAsia" w:hAnsiTheme="minorEastAsia" w:eastAsiaTheme="minorEastAsia"/>
          <w:b/>
          <w:snapToGrid w:val="0"/>
          <w:kern w:val="0"/>
          <w:sz w:val="24"/>
          <w:szCs w:val="24"/>
        </w:rPr>
      </w:pPr>
    </w:p>
    <w:p>
      <w:pPr>
        <w:widowControl/>
        <w:ind w:right="566"/>
        <w:jc w:val="left"/>
        <w:rPr>
          <w:rFonts w:asciiTheme="minorEastAsia" w:hAnsiTheme="minorEastAsia" w:eastAsiaTheme="minorEastAsia"/>
          <w:b/>
          <w:snapToGrid w:val="0"/>
          <w:kern w:val="0"/>
          <w:sz w:val="24"/>
          <w:szCs w:val="24"/>
        </w:rPr>
      </w:pPr>
      <w:bookmarkStart w:id="67" w:name="_GoBack"/>
      <w:bookmarkEnd w:id="67"/>
      <w:r>
        <w:rPr>
          <w:rFonts w:hint="eastAsia" w:asciiTheme="minorEastAsia" w:hAnsiTheme="minorEastAsia" w:eastAsiaTheme="minorEastAsia"/>
          <w:b/>
          <w:snapToGrid w:val="0"/>
          <w:kern w:val="0"/>
          <w:sz w:val="24"/>
          <w:szCs w:val="24"/>
        </w:rPr>
        <w:t>附件九：</w:t>
      </w:r>
    </w:p>
    <w:p>
      <w:pPr>
        <w:widowControl/>
        <w:ind w:right="425" w:firstLine="278" w:firstLineChars="116"/>
        <w:jc w:val="center"/>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法定代表人授权委托书</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项目名称：</w:t>
      </w:r>
      <w:r>
        <w:rPr>
          <w:rFonts w:hint="eastAsia" w:asciiTheme="minorEastAsia" w:hAnsiTheme="minorEastAsia" w:eastAsiaTheme="minorEastAsia"/>
          <w:snapToGrid w:val="0"/>
          <w:kern w:val="0"/>
          <w:sz w:val="24"/>
          <w:szCs w:val="24"/>
          <w:u w:val="single"/>
        </w:rPr>
        <w:t>___________________</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573" w:rightChars="-273" w:firstLine="278" w:firstLineChars="116"/>
        <w:rPr>
          <w:rFonts w:asciiTheme="minorEastAsia" w:hAnsiTheme="minorEastAsia" w:eastAsiaTheme="minorEastAsia"/>
          <w:snapToGrid w:val="0"/>
          <w:kern w:val="0"/>
          <w:sz w:val="24"/>
          <w:szCs w:val="24"/>
          <w:u w:val="single"/>
        </w:rPr>
      </w:pPr>
      <w:r>
        <w:rPr>
          <w:rFonts w:hint="eastAsia" w:asciiTheme="minorEastAsia" w:hAnsiTheme="minorEastAsia" w:eastAsiaTheme="minorEastAsia"/>
          <w:snapToGrid w:val="0"/>
          <w:kern w:val="0"/>
          <w:sz w:val="24"/>
          <w:szCs w:val="24"/>
        </w:rPr>
        <w:t>致：</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（参选人负责人名称）是（参选人名称）的负责人，特授权（被授权人姓名及身份证代码）代表我单位全权办理上述项目的参选、谈判、签约等具体工作，并签署全部有关文件、协议及合同。</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我单位对被授权人的签字负全部责任。</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在撤销授权的书面通知以前，本授权书一直有效。被授权人在授权书有效期内签署的所有文件不因授权的撤销而失效。</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被授权人：参选人负责人：</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（签字或盖章）（签字或盖章）</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（附：被授权人身份证正反面复印件）</w:t>
      </w: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278" w:firstLineChars="116"/>
        <w:rPr>
          <w:rFonts w:asciiTheme="minorEastAsia" w:hAnsiTheme="minorEastAsia" w:eastAsiaTheme="minorEastAsia"/>
          <w:snapToGrid w:val="0"/>
          <w:kern w:val="0"/>
          <w:sz w:val="24"/>
          <w:szCs w:val="24"/>
        </w:rPr>
      </w:pPr>
    </w:p>
    <w:p>
      <w:pPr>
        <w:tabs>
          <w:tab w:val="left" w:pos="6300"/>
        </w:tabs>
        <w:snapToGrid w:val="0"/>
        <w:spacing w:line="500" w:lineRule="exact"/>
        <w:ind w:right="425" w:firstLine="7598" w:firstLineChars="316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（参选人公章）</w:t>
      </w:r>
    </w:p>
    <w:p>
      <w:pPr>
        <w:tabs>
          <w:tab w:val="left" w:pos="6300"/>
        </w:tabs>
        <w:snapToGrid w:val="0"/>
        <w:spacing w:line="500" w:lineRule="exact"/>
        <w:ind w:right="425" w:firstLine="8318" w:firstLineChars="3466"/>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年月日</w:t>
      </w:r>
    </w:p>
    <w:p>
      <w:pPr>
        <w:tabs>
          <w:tab w:val="left" w:pos="6300"/>
        </w:tabs>
        <w:snapToGrid w:val="0"/>
        <w:spacing w:line="500" w:lineRule="exact"/>
        <w:ind w:right="-573" w:rightChars="-273" w:firstLine="278" w:firstLineChars="116"/>
        <w:jc w:val="right"/>
        <w:rPr>
          <w:rFonts w:asciiTheme="minorEastAsia" w:hAnsiTheme="minorEastAsia" w:eastAsiaTheme="minorEastAsia"/>
          <w:snapToGrid w:val="0"/>
          <w:kern w:val="0"/>
          <w:sz w:val="24"/>
          <w:szCs w:val="24"/>
        </w:rPr>
      </w:pPr>
    </w:p>
    <w:p>
      <w:pPr>
        <w:tabs>
          <w:tab w:val="left" w:pos="6300"/>
        </w:tabs>
        <w:snapToGrid w:val="0"/>
        <w:spacing w:line="500" w:lineRule="exact"/>
        <w:ind w:right="-573" w:rightChars="-273" w:firstLine="278" w:firstLineChars="116"/>
        <w:jc w:val="right"/>
        <w:rPr>
          <w:rFonts w:asciiTheme="minorEastAsia" w:hAnsiTheme="minorEastAsia" w:eastAsiaTheme="minorEastAsia"/>
          <w:snapToGrid w:val="0"/>
          <w:kern w:val="0"/>
          <w:sz w:val="24"/>
          <w:szCs w:val="24"/>
        </w:rPr>
      </w:pPr>
    </w:p>
    <w:p>
      <w:pPr>
        <w:tabs>
          <w:tab w:val="left" w:pos="6300"/>
        </w:tabs>
        <w:snapToGrid w:val="0"/>
        <w:spacing w:line="500" w:lineRule="exact"/>
        <w:ind w:right="-573" w:rightChars="-273" w:firstLine="278" w:firstLineChars="116"/>
        <w:jc w:val="right"/>
        <w:rPr>
          <w:rFonts w:asciiTheme="minorEastAsia" w:hAnsiTheme="minorEastAsia" w:eastAsiaTheme="minorEastAsia"/>
          <w:snapToGrid w:val="0"/>
          <w:kern w:val="0"/>
          <w:sz w:val="24"/>
          <w:szCs w:val="24"/>
        </w:rPr>
      </w:pPr>
    </w:p>
    <w:p>
      <w:pPr>
        <w:snapToGrid w:val="0"/>
        <w:spacing w:line="360" w:lineRule="auto"/>
        <w:ind w:right="-573" w:rightChars="-273" w:firstLine="279" w:firstLineChars="116"/>
        <w:rPr>
          <w:rFonts w:asciiTheme="minorEastAsia" w:hAnsiTheme="minorEastAsia" w:eastAsiaTheme="minorEastAsia"/>
          <w:b/>
          <w:color w:val="000000"/>
          <w:sz w:val="24"/>
          <w:szCs w:val="24"/>
        </w:rPr>
      </w:pPr>
    </w:p>
    <w:p>
      <w:bookmarkStart w:id="62" w:name="_Toc520457458"/>
      <w:bookmarkStart w:id="63" w:name="_Toc513708837"/>
      <w:bookmarkStart w:id="64" w:name="_Toc303066039"/>
      <w:bookmarkStart w:id="65" w:name="_Toc485223549"/>
      <w:bookmarkStart w:id="66" w:name="_Toc451868123"/>
      <w:r>
        <w:rPr>
          <w:rFonts w:hint="eastAsia"/>
          <w:b/>
          <w:sz w:val="24"/>
          <w:szCs w:val="24"/>
        </w:rPr>
        <w:t>附件十：书面声明</w:t>
      </w:r>
      <w:bookmarkEnd w:id="62"/>
      <w:bookmarkEnd w:id="63"/>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snapToGrid w:val="0"/>
          <w:kern w:val="0"/>
          <w:sz w:val="24"/>
          <w:szCs w:val="24"/>
          <w:u w:val="single"/>
        </w:rPr>
        <w:t>__________________</w:t>
      </w: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致：</w:t>
      </w: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参选人名称）郑重声明，我公司具有良好的商业信誉，具有履行合同所必需的专业技术能力，有依法缴纳税收和社会保障金的良好记录，在合同签订前后随时愿意提供相关证明材料；我公司还同时声明愿意接受比选人有关项目服务的各项要求，参加本项目比选活动前三年内无重大违法活动记录，符合法律法规规定的参选人资格条件。我方对以上声明负全部法律责任。</w:t>
      </w: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p>
    <w:p>
      <w:pPr>
        <w:tabs>
          <w:tab w:val="left" w:pos="6300"/>
        </w:tabs>
        <w:snapToGrid w:val="0"/>
        <w:spacing w:line="500" w:lineRule="exact"/>
        <w:ind w:left="-141" w:leftChars="-67" w:right="425" w:firstLine="420" w:firstLineChars="175"/>
        <w:rPr>
          <w:rFonts w:asciiTheme="minorEastAsia" w:hAnsiTheme="minorEastAsia" w:eastAsiaTheme="minorEastAsia"/>
          <w:sz w:val="24"/>
          <w:szCs w:val="24"/>
        </w:rPr>
      </w:pPr>
    </w:p>
    <w:p>
      <w:pPr>
        <w:tabs>
          <w:tab w:val="left" w:pos="6300"/>
        </w:tabs>
        <w:snapToGrid w:val="0"/>
        <w:spacing w:line="500" w:lineRule="exact"/>
        <w:ind w:left="-141" w:leftChars="-67" w:right="425" w:firstLine="420" w:firstLineChars="175"/>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（参选人公章）</w:t>
      </w:r>
    </w:p>
    <w:p>
      <w:pPr>
        <w:tabs>
          <w:tab w:val="left" w:pos="6300"/>
        </w:tabs>
        <w:snapToGrid w:val="0"/>
        <w:spacing w:line="500" w:lineRule="exact"/>
        <w:ind w:left="-141" w:leftChars="-67" w:right="425" w:firstLine="420" w:firstLineChars="175"/>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年月日</w:t>
      </w:r>
    </w:p>
    <w:bookmarkEnd w:id="64"/>
    <w:bookmarkEnd w:id="65"/>
    <w:bookmarkEnd w:id="66"/>
    <w:p>
      <w:pPr>
        <w:widowControl/>
        <w:ind w:right="-573" w:rightChars="-273" w:firstLine="278" w:firstLineChars="116"/>
        <w:jc w:val="left"/>
        <w:rPr>
          <w:rFonts w:asciiTheme="minorEastAsia" w:hAnsiTheme="minorEastAsia" w:eastAsiaTheme="minorEastAsia"/>
          <w:color w:val="000000"/>
          <w:sz w:val="24"/>
          <w:szCs w:val="24"/>
        </w:rPr>
      </w:pPr>
    </w:p>
    <w:p>
      <w:pPr>
        <w:widowControl/>
        <w:ind w:right="-573" w:rightChars="-273" w:firstLine="278" w:firstLineChars="116"/>
        <w:jc w:val="left"/>
        <w:rPr>
          <w:rFonts w:asciiTheme="minorEastAsia" w:hAnsiTheme="minorEastAsia" w:eastAsiaTheme="minorEastAsia"/>
          <w:color w:val="000000"/>
          <w:sz w:val="24"/>
          <w:szCs w:val="24"/>
        </w:rPr>
      </w:pPr>
    </w:p>
    <w:p>
      <w:pPr>
        <w:widowControl/>
        <w:ind w:right="-573" w:rightChars="-273" w:firstLine="278" w:firstLineChars="116"/>
        <w:jc w:val="left"/>
        <w:rPr>
          <w:rFonts w:asciiTheme="minorEastAsia" w:hAnsiTheme="minorEastAsia" w:eastAsiaTheme="minorEastAsia"/>
          <w:color w:val="000000"/>
          <w:sz w:val="24"/>
          <w:szCs w:val="24"/>
        </w:rPr>
      </w:pPr>
    </w:p>
    <w:p>
      <w:pPr>
        <w:widowControl/>
        <w:ind w:right="-573" w:rightChars="-273" w:firstLine="278" w:firstLineChars="116"/>
        <w:jc w:val="left"/>
        <w:rPr>
          <w:rFonts w:asciiTheme="minorEastAsia" w:hAnsiTheme="minorEastAsia" w:eastAsiaTheme="minorEastAsia"/>
          <w:color w:val="000000"/>
          <w:sz w:val="24"/>
          <w:szCs w:val="24"/>
        </w:rPr>
      </w:pPr>
    </w:p>
    <w:p>
      <w:pPr>
        <w:widowControl/>
        <w:ind w:right="-573" w:rightChars="-273" w:firstLine="278" w:firstLineChars="116"/>
        <w:jc w:val="left"/>
        <w:rPr>
          <w:rFonts w:asciiTheme="minorEastAsia" w:hAnsiTheme="minorEastAsia" w:eastAsiaTheme="minorEastAsia"/>
          <w:color w:val="000000"/>
          <w:sz w:val="24"/>
          <w:szCs w:val="24"/>
        </w:rPr>
      </w:pPr>
    </w:p>
    <w:p>
      <w:pPr>
        <w:widowControl/>
        <w:ind w:right="-573" w:rightChars="-273" w:firstLine="278" w:firstLineChars="116"/>
        <w:jc w:val="left"/>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color w:val="000000"/>
          <w:sz w:val="24"/>
          <w:szCs w:val="24"/>
        </w:rPr>
      </w:pPr>
    </w:p>
    <w:p>
      <w:pPr>
        <w:ind w:right="-573" w:rightChars="-273" w:firstLine="278" w:firstLineChars="116"/>
        <w:rPr>
          <w:rFonts w:asciiTheme="minorEastAsia" w:hAnsiTheme="minorEastAsia" w:eastAsiaTheme="minorEastAsia"/>
          <w:sz w:val="24"/>
          <w:szCs w:val="24"/>
        </w:rPr>
      </w:pPr>
    </w:p>
    <w:p>
      <w:pPr>
        <w:spacing w:line="660" w:lineRule="exact"/>
        <w:ind w:right="566" w:firstLine="278" w:firstLineChars="116"/>
        <w:rPr>
          <w:rFonts w:ascii="宋体" w:hAnsi="宋体"/>
          <w:sz w:val="24"/>
          <w:szCs w:val="24"/>
          <w:u w:val="single"/>
        </w:rPr>
      </w:pPr>
    </w:p>
    <w:sectPr>
      <w:headerReference r:id="rId4" w:type="first"/>
      <w:headerReference r:id="rId3" w:type="default"/>
      <w:footerReference r:id="rId5" w:type="default"/>
      <w:pgSz w:w="11906" w:h="16838"/>
      <w:pgMar w:top="1670" w:right="1133" w:bottom="1440" w:left="1276"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Align="top"/>
      <w:pBdr>
        <w:between w:val="none" w:color="auto" w:sz="0" w:space="0"/>
      </w:pBdr>
    </w:pPr>
    <w:r>
      <w:fldChar w:fldCharType="begin"/>
    </w:r>
    <w:r>
      <w:rPr>
        <w:rStyle w:val="19"/>
      </w:rPr>
      <w:instrText xml:space="preserve"> PAGE  </w:instrText>
    </w:r>
    <w:r>
      <w:fldChar w:fldCharType="separate"/>
    </w:r>
    <w:r>
      <w:rPr>
        <w:rStyle w:val="19"/>
      </w:rPr>
      <w:t>- 12 -</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heme="minorEastAsia" w:hAnsiTheme="minorEastAsia" w:eastAsiaTheme="minorEastAsia"/>
        <w:bCs/>
        <w:sz w:val="18"/>
        <w:szCs w:val="18"/>
      </w:rPr>
    </w:pPr>
    <w:r>
      <w:rPr>
        <w:rFonts w:hint="eastAsia" w:asciiTheme="minorEastAsia" w:hAnsiTheme="minorEastAsia" w:eastAsiaTheme="minorEastAsia"/>
        <w:bCs/>
        <w:sz w:val="18"/>
        <w:szCs w:val="18"/>
      </w:rPr>
      <w:t>农投良品项目比选文件</w:t>
    </w:r>
  </w:p>
  <w:p>
    <w:pPr>
      <w:pStyle w:val="15"/>
    </w:pPr>
    <w: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75565</wp:posOffset>
              </wp:positionV>
              <wp:extent cx="6027420" cy="15240"/>
              <wp:effectExtent l="0" t="0" r="11430" b="22860"/>
              <wp:wrapNone/>
              <wp:docPr id="1" name="AutoShape 1"/>
              <wp:cNvGraphicFramePr/>
              <a:graphic xmlns:a="http://schemas.openxmlformats.org/drawingml/2006/main">
                <a:graphicData uri="http://schemas.microsoft.com/office/word/2010/wordprocessingShape">
                  <wps:wsp>
                    <wps:cNvCnPr>
                      <a:cxnSpLocks noChangeShapeType="1"/>
                    </wps:cNvCnPr>
                    <wps:spPr bwMode="auto">
                      <a:xfrm flipV="1">
                        <a:off x="0" y="0"/>
                        <a:ext cx="6027420" cy="15240"/>
                      </a:xfrm>
                      <a:prstGeom prst="straightConnector1">
                        <a:avLst/>
                      </a:prstGeom>
                      <a:noFill/>
                      <a:ln w="9525">
                        <a:solidFill>
                          <a:srgbClr val="000000"/>
                        </a:solidFill>
                        <a:round/>
                      </a:ln>
                    </wps:spPr>
                    <wps:bodyPr/>
                  </wps:wsp>
                </a:graphicData>
              </a:graphic>
            </wp:anchor>
          </w:drawing>
        </mc:Choice>
        <mc:Fallback>
          <w:pict>
            <v:shape id="AutoShape 1" o:spid="_x0000_s1026" o:spt="32" type="#_x0000_t32" style="position:absolute;left:0pt;flip:y;margin-left:1.6pt;margin-top:5.95pt;height:1.2pt;width:474.6pt;z-index:251659264;mso-width-relative:page;mso-height-relative:page;" filled="f" stroked="t" coordsize="21600,21600" o:gfxdata="UEsDBAoAAAAAAIdO4kAAAAAAAAAAAAAAAAAEAAAAZHJzL1BLAwQUAAAACACHTuJAzUCtkNUAAAAH&#10;AQAADwAAAGRycy9kb3ducmV2LnhtbE2OzU6DQBSF9ya+w+Q2cWcHKNYWGbow0bgwJG11P2WugGXu&#10;IDOF9u29ruzy/OScL9+cbSdGHHzrSEE8j0AgVc60VCv42L/cr0D4oMnozhEquKCHTXF7k+vMuIm2&#10;OO5CLXiEfKYVNCH0mZS+atBqP3c9EmdfbrA6sBxqaQY98bjtZBJFS2l1S/zQ6B6fG6yOu5NV8EOP&#10;l89UjqvvsgzL17f3mrCclLqbxdETiIDn8F+GP3xGh4KZDu5ExotOwSLhItvxGgTH64ckBXFgI12A&#10;LHJ5zV/8AlBLAwQUAAAACACHTuJAliy6fsQBAAByAwAADgAAAGRycy9lMm9Eb2MueG1srVPBbtsw&#10;DL0P2D8Iui92jKbbjDjFkKK7dFuAdrsrsmQLk0SBUmLn70cpbbput2E+CBbJ90g+Uuub2Vl2VBgN&#10;+I4vFzVnykvojR86/v3x7t0HzmISvhcWvOr4SUV+s3n7Zj2FVjUwgu0VMiLxsZ1Cx8eUQltVUY7K&#10;ibiAoDw5NaATia44VD2KididrZq6vq4mwD4gSBUjWW/PTr4p/Formb5pHVVituNUWyonlnOfz2qz&#10;Fu2AIoxGPpUh/qEKJ4ynpBeqW5EEO6D5i8oZiRBBp4UEV4HWRqrSA3WzrP/o5mEUQZVeSJwYLjLF&#10;/0crvx53yExPs+PMC0cj+nRIUDKzZZZnCrGlqK3fYW5Qzv4h3IP8GZmH7Sj8oErw4ykQtiCqV5B8&#10;iYGS7Kcv0FOMIP6i1azRMW1N+JGBmZz0YHMZzukyHDUnJsl4XTfvrxqaoSTfctVcleFVos00GRww&#10;ps8KHMs/HY8JhRnGtAXvaQ0AzynE8T4maouAz4AM9nBnrC3bYD2bOv5x1axKTRGs6bMzh0Uc9luL&#10;7CjyPpUva0Rkr8IQDr4/260n97MGZzX30J92mN3ZToMtBE9LmDfn93uJenkq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QK2Q1QAAAAcBAAAPAAAAAAAAAAEAIAAAACIAAABkcnMvZG93bnJldi54&#10;bWxQSwECFAAUAAAACACHTuJAliy6fsQBAAByAwAADgAAAAAAAAABACAAAAAkAQAAZHJzL2Uyb0Rv&#10;Yy54bWxQSwUGAAAAAAYABgBZAQAAWg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华文中宋" w:hAnsi="华文中宋" w:eastAsia="华文中宋"/>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lvlText w:val="%1."/>
      <w:lvlJc w:val="left"/>
      <w:pPr>
        <w:tabs>
          <w:tab w:val="left" w:pos="425"/>
        </w:tabs>
        <w:ind w:left="425" w:hanging="425"/>
      </w:pPr>
      <w:rPr>
        <w:rFonts w:hint="default"/>
      </w:rPr>
    </w:lvl>
  </w:abstractNum>
  <w:abstractNum w:abstractNumId="1">
    <w:nsid w:val="0000000D"/>
    <w:multiLevelType w:val="singleLevel"/>
    <w:tmpl w:val="0000000D"/>
    <w:lvl w:ilvl="0" w:tentative="0">
      <w:start w:val="1"/>
      <w:numFmt w:val="decimal"/>
      <w:lvlText w:val="%1."/>
      <w:lvlJc w:val="left"/>
      <w:pPr>
        <w:tabs>
          <w:tab w:val="left" w:pos="425"/>
        </w:tabs>
        <w:ind w:left="425" w:hanging="425"/>
      </w:pPr>
      <w:rPr>
        <w:rFonts w:hint="default"/>
      </w:rPr>
    </w:lvl>
  </w:abstractNum>
  <w:abstractNum w:abstractNumId="2">
    <w:nsid w:val="00000017"/>
    <w:multiLevelType w:val="multilevel"/>
    <w:tmpl w:val="00000017"/>
    <w:lvl w:ilvl="0" w:tentative="0">
      <w:start w:val="1"/>
      <w:numFmt w:val="bullet"/>
      <w:lvlText w:val=""/>
      <w:lvlJc w:val="left"/>
      <w:pPr>
        <w:ind w:left="890" w:hanging="420"/>
      </w:pPr>
      <w:rPr>
        <w:rFonts w:hint="default" w:ascii="Wingdings" w:hAnsi="Wingdings"/>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3">
    <w:nsid w:val="0000001C"/>
    <w:multiLevelType w:val="singleLevel"/>
    <w:tmpl w:val="0000001C"/>
    <w:lvl w:ilvl="0" w:tentative="0">
      <w:start w:val="1"/>
      <w:numFmt w:val="chineseCounting"/>
      <w:suff w:val="nothing"/>
      <w:lvlText w:val="%1、"/>
      <w:lvlJc w:val="left"/>
    </w:lvl>
  </w:abstractNum>
  <w:abstractNum w:abstractNumId="4">
    <w:nsid w:val="0000001E"/>
    <w:multiLevelType w:val="singleLevel"/>
    <w:tmpl w:val="0000001E"/>
    <w:lvl w:ilvl="0" w:tentative="0">
      <w:start w:val="1"/>
      <w:numFmt w:val="chineseCounting"/>
      <w:suff w:val="space"/>
      <w:lvlText w:val="第%1章"/>
      <w:lvlJc w:val="left"/>
    </w:lvl>
  </w:abstractNum>
  <w:abstractNum w:abstractNumId="5">
    <w:nsid w:val="0000001F"/>
    <w:multiLevelType w:val="singleLevel"/>
    <w:tmpl w:val="0000001F"/>
    <w:lvl w:ilvl="0" w:tentative="0">
      <w:start w:val="3"/>
      <w:numFmt w:val="chineseCounting"/>
      <w:suff w:val="nothing"/>
      <w:lvlText w:val="%1、"/>
      <w:lvlJc w:val="left"/>
    </w:lvl>
  </w:abstractNum>
  <w:abstractNum w:abstractNumId="6">
    <w:nsid w:val="00000022"/>
    <w:multiLevelType w:val="multilevel"/>
    <w:tmpl w:val="0000002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6"/>
    <w:multiLevelType w:val="multilevel"/>
    <w:tmpl w:val="00000026"/>
    <w:lvl w:ilvl="0" w:tentative="0">
      <w:start w:val="1"/>
      <w:numFmt w:val="decimal"/>
      <w:lvlText w:val="%1)"/>
      <w:lvlJc w:val="left"/>
      <w:pPr>
        <w:tabs>
          <w:tab w:val="left" w:pos="1140"/>
        </w:tabs>
        <w:ind w:left="1140" w:hanging="420"/>
      </w:pPr>
    </w:lvl>
    <w:lvl w:ilvl="1" w:tentative="0">
      <w:start w:val="1"/>
      <w:numFmt w:val="decimal"/>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8">
    <w:nsid w:val="00000028"/>
    <w:multiLevelType w:val="multilevel"/>
    <w:tmpl w:val="0000002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2D"/>
    <w:multiLevelType w:val="multilevel"/>
    <w:tmpl w:val="0000002D"/>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decimal"/>
      <w:lvlText w:val="%3."/>
      <w:lvlJc w:val="lef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0">
    <w:nsid w:val="0000002F"/>
    <w:multiLevelType w:val="multilevel"/>
    <w:tmpl w:val="0000002F"/>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34"/>
    <w:multiLevelType w:val="singleLevel"/>
    <w:tmpl w:val="00000034"/>
    <w:lvl w:ilvl="0" w:tentative="0">
      <w:start w:val="1"/>
      <w:numFmt w:val="decimal"/>
      <w:lvlText w:val="%1)"/>
      <w:lvlJc w:val="left"/>
      <w:pPr>
        <w:tabs>
          <w:tab w:val="left" w:pos="425"/>
        </w:tabs>
        <w:ind w:left="425" w:hanging="425"/>
      </w:pPr>
      <w:rPr>
        <w:rFonts w:hint="default"/>
      </w:rPr>
    </w:lvl>
  </w:abstractNum>
  <w:abstractNum w:abstractNumId="12">
    <w:nsid w:val="00000037"/>
    <w:multiLevelType w:val="multilevel"/>
    <w:tmpl w:val="00000037"/>
    <w:lvl w:ilvl="0" w:tentative="0">
      <w:start w:val="1"/>
      <w:numFmt w:val="decimal"/>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13">
    <w:nsid w:val="00000039"/>
    <w:multiLevelType w:val="multilevel"/>
    <w:tmpl w:val="00000039"/>
    <w:lvl w:ilvl="0" w:tentative="0">
      <w:start w:val="1"/>
      <w:numFmt w:val="decimal"/>
      <w:lvlText w:val="%1)"/>
      <w:lvlJc w:val="left"/>
      <w:pPr>
        <w:tabs>
          <w:tab w:val="left" w:pos="1140"/>
        </w:tabs>
        <w:ind w:left="1140" w:hanging="420"/>
      </w:pPr>
    </w:lvl>
    <w:lvl w:ilvl="1" w:tentative="0">
      <w:start w:val="1"/>
      <w:numFmt w:val="decimal"/>
      <w:lvlText w:val="%2."/>
      <w:lvlJc w:val="left"/>
      <w:pPr>
        <w:tabs>
          <w:tab w:val="left" w:pos="1560"/>
        </w:tabs>
        <w:ind w:left="1560" w:hanging="420"/>
      </w:pPr>
    </w:lvl>
    <w:lvl w:ilvl="2" w:tentative="0">
      <w:start w:val="1"/>
      <w:numFmt w:val="decimal"/>
      <w:lvlText w:val="%3、"/>
      <w:lvlJc w:val="left"/>
      <w:pPr>
        <w:tabs>
          <w:tab w:val="left" w:pos="1920"/>
        </w:tabs>
        <w:ind w:left="1920" w:hanging="360"/>
      </w:pPr>
      <w:rPr>
        <w:rFonts w:hint="default"/>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4">
    <w:nsid w:val="0000003A"/>
    <w:multiLevelType w:val="singleLevel"/>
    <w:tmpl w:val="0000003A"/>
    <w:lvl w:ilvl="0" w:tentative="0">
      <w:start w:val="1"/>
      <w:numFmt w:val="lowerLetter"/>
      <w:lvlText w:val="%1."/>
      <w:lvlJc w:val="left"/>
      <w:pPr>
        <w:tabs>
          <w:tab w:val="left" w:pos="851"/>
        </w:tabs>
        <w:ind w:left="851" w:hanging="425"/>
      </w:pPr>
      <w:rPr>
        <w:rFonts w:hint="default"/>
      </w:rPr>
    </w:lvl>
  </w:abstractNum>
  <w:abstractNum w:abstractNumId="15">
    <w:nsid w:val="0000003B"/>
    <w:multiLevelType w:val="multilevel"/>
    <w:tmpl w:val="0000003B"/>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rPr>
        <w:color w:val="auto"/>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D"/>
    <w:multiLevelType w:val="singleLevel"/>
    <w:tmpl w:val="0000003D"/>
    <w:lvl w:ilvl="0" w:tentative="0">
      <w:start w:val="1"/>
      <w:numFmt w:val="lowerLetter"/>
      <w:lvlText w:val="%1."/>
      <w:lvlJc w:val="left"/>
      <w:pPr>
        <w:tabs>
          <w:tab w:val="left" w:pos="851"/>
        </w:tabs>
        <w:ind w:left="851" w:hanging="425"/>
      </w:pPr>
      <w:rPr>
        <w:rFonts w:hint="default"/>
      </w:rPr>
    </w:lvl>
  </w:abstractNum>
  <w:abstractNum w:abstractNumId="17">
    <w:nsid w:val="104F60C4"/>
    <w:multiLevelType w:val="multilevel"/>
    <w:tmpl w:val="104F60C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107E671B"/>
    <w:multiLevelType w:val="multilevel"/>
    <w:tmpl w:val="107E67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F205067"/>
    <w:multiLevelType w:val="multilevel"/>
    <w:tmpl w:val="1F205067"/>
    <w:lvl w:ilvl="0" w:tentative="0">
      <w:start w:val="1"/>
      <w:numFmt w:val="decimal"/>
      <w:lvlText w:val="%1."/>
      <w:lvlJc w:val="left"/>
      <w:pPr>
        <w:ind w:left="0" w:firstLine="0"/>
      </w:pPr>
      <w:rPr>
        <w:rFonts w:hint="eastAsia"/>
        <w:b/>
        <w:i w:val="0"/>
        <w:spacing w:val="0"/>
      </w:rPr>
    </w:lvl>
    <w:lvl w:ilvl="1" w:tentative="0">
      <w:start w:val="1"/>
      <w:numFmt w:val="chineseCountingThousand"/>
      <w:lvlText w:val="%2、"/>
      <w:lvlJc w:val="left"/>
      <w:pPr>
        <w:ind w:left="142"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241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20">
    <w:nsid w:val="268F00D0"/>
    <w:multiLevelType w:val="multilevel"/>
    <w:tmpl w:val="268F00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AEA1B3B"/>
    <w:multiLevelType w:val="multilevel"/>
    <w:tmpl w:val="2AEA1B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B813890"/>
    <w:multiLevelType w:val="multilevel"/>
    <w:tmpl w:val="2B813890"/>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3">
    <w:nsid w:val="32162B85"/>
    <w:multiLevelType w:val="multilevel"/>
    <w:tmpl w:val="32162B85"/>
    <w:lvl w:ilvl="0" w:tentative="0">
      <w:start w:val="1"/>
      <w:numFmt w:val="decimal"/>
      <w:lvlText w:val="%1)"/>
      <w:lvlJc w:val="left"/>
      <w:pPr>
        <w:tabs>
          <w:tab w:val="left" w:pos="1140"/>
        </w:tabs>
        <w:ind w:left="1140" w:hanging="420"/>
      </w:p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decimal"/>
      <w:lvlText w:val="%3."/>
      <w:lvlJc w:val="lef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4">
    <w:nsid w:val="4469408E"/>
    <w:multiLevelType w:val="multilevel"/>
    <w:tmpl w:val="4469408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47AB37FA"/>
    <w:multiLevelType w:val="multilevel"/>
    <w:tmpl w:val="47AB37F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4FA358E8"/>
    <w:multiLevelType w:val="multilevel"/>
    <w:tmpl w:val="4FA358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8004404"/>
    <w:multiLevelType w:val="multilevel"/>
    <w:tmpl w:val="580044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64F252B3"/>
    <w:multiLevelType w:val="multilevel"/>
    <w:tmpl w:val="64F252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EFE3127"/>
    <w:multiLevelType w:val="multilevel"/>
    <w:tmpl w:val="7EFE31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7F9139B6"/>
    <w:multiLevelType w:val="multilevel"/>
    <w:tmpl w:val="7F9139B6"/>
    <w:lvl w:ilvl="0" w:tentative="0">
      <w:start w:val="1"/>
      <w:numFmt w:val="decimal"/>
      <w:lvlText w:val="%1."/>
      <w:lvlJc w:val="left"/>
      <w:pPr>
        <w:tabs>
          <w:tab w:val="left" w:pos="1140"/>
        </w:tabs>
        <w:ind w:left="1140" w:hanging="420"/>
      </w:p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decimal"/>
      <w:lvlText w:val="%3."/>
      <w:lvlJc w:val="lef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4"/>
  </w:num>
  <w:num w:numId="2">
    <w:abstractNumId w:val="15"/>
  </w:num>
  <w:num w:numId="3">
    <w:abstractNumId w:val="0"/>
  </w:num>
  <w:num w:numId="4">
    <w:abstractNumId w:val="29"/>
  </w:num>
  <w:num w:numId="5">
    <w:abstractNumId w:val="3"/>
  </w:num>
  <w:num w:numId="6">
    <w:abstractNumId w:val="16"/>
  </w:num>
  <w:num w:numId="7">
    <w:abstractNumId w:val="14"/>
  </w:num>
  <w:num w:numId="8">
    <w:abstractNumId w:val="1"/>
  </w:num>
  <w:num w:numId="9">
    <w:abstractNumId w:val="5"/>
  </w:num>
  <w:num w:numId="10">
    <w:abstractNumId w:val="8"/>
  </w:num>
  <w:num w:numId="11">
    <w:abstractNumId w:val="13"/>
  </w:num>
  <w:num w:numId="12">
    <w:abstractNumId w:val="30"/>
  </w:num>
  <w:num w:numId="13">
    <w:abstractNumId w:val="10"/>
  </w:num>
  <w:num w:numId="14">
    <w:abstractNumId w:val="9"/>
  </w:num>
  <w:num w:numId="15">
    <w:abstractNumId w:val="23"/>
  </w:num>
  <w:num w:numId="16">
    <w:abstractNumId w:val="11"/>
  </w:num>
  <w:num w:numId="17">
    <w:abstractNumId w:val="7"/>
  </w:num>
  <w:num w:numId="18">
    <w:abstractNumId w:val="12"/>
  </w:num>
  <w:num w:numId="19">
    <w:abstractNumId w:val="19"/>
  </w:num>
  <w:num w:numId="20">
    <w:abstractNumId w:val="22"/>
  </w:num>
  <w:num w:numId="21">
    <w:abstractNumId w:val="2"/>
  </w:num>
  <w:num w:numId="22">
    <w:abstractNumId w:val="28"/>
  </w:num>
  <w:num w:numId="23">
    <w:abstractNumId w:val="21"/>
  </w:num>
  <w:num w:numId="24">
    <w:abstractNumId w:val="20"/>
  </w:num>
  <w:num w:numId="25">
    <w:abstractNumId w:val="18"/>
  </w:num>
  <w:num w:numId="26">
    <w:abstractNumId w:val="17"/>
  </w:num>
  <w:num w:numId="27">
    <w:abstractNumId w:val="25"/>
  </w:num>
  <w:num w:numId="28">
    <w:abstractNumId w:val="27"/>
  </w:num>
  <w:num w:numId="29">
    <w:abstractNumId w:val="26"/>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F9"/>
    <w:rsid w:val="00010052"/>
    <w:rsid w:val="00013D2A"/>
    <w:rsid w:val="00015DC9"/>
    <w:rsid w:val="0001767E"/>
    <w:rsid w:val="00020A82"/>
    <w:rsid w:val="00021AC3"/>
    <w:rsid w:val="000304BE"/>
    <w:rsid w:val="00035C43"/>
    <w:rsid w:val="00043B6D"/>
    <w:rsid w:val="00063CA6"/>
    <w:rsid w:val="000700D8"/>
    <w:rsid w:val="00082E63"/>
    <w:rsid w:val="0008568F"/>
    <w:rsid w:val="0008626F"/>
    <w:rsid w:val="000947F9"/>
    <w:rsid w:val="000A72BF"/>
    <w:rsid w:val="000C6406"/>
    <w:rsid w:val="000C7F38"/>
    <w:rsid w:val="000E03A9"/>
    <w:rsid w:val="000E12BA"/>
    <w:rsid w:val="000E5A3D"/>
    <w:rsid w:val="000E5EC0"/>
    <w:rsid w:val="00101327"/>
    <w:rsid w:val="0010430B"/>
    <w:rsid w:val="00110CB6"/>
    <w:rsid w:val="001352DD"/>
    <w:rsid w:val="00157245"/>
    <w:rsid w:val="001863BB"/>
    <w:rsid w:val="00190F72"/>
    <w:rsid w:val="00191BEB"/>
    <w:rsid w:val="001A0799"/>
    <w:rsid w:val="001A3ECB"/>
    <w:rsid w:val="001B62AB"/>
    <w:rsid w:val="001C088A"/>
    <w:rsid w:val="001C39C6"/>
    <w:rsid w:val="001D2BFF"/>
    <w:rsid w:val="001E1C1D"/>
    <w:rsid w:val="001F01FA"/>
    <w:rsid w:val="001F18F9"/>
    <w:rsid w:val="001F514D"/>
    <w:rsid w:val="0020653E"/>
    <w:rsid w:val="00210E23"/>
    <w:rsid w:val="00212412"/>
    <w:rsid w:val="002236BE"/>
    <w:rsid w:val="002246A0"/>
    <w:rsid w:val="00226AD5"/>
    <w:rsid w:val="002354F0"/>
    <w:rsid w:val="002521E3"/>
    <w:rsid w:val="002630B9"/>
    <w:rsid w:val="00263CBE"/>
    <w:rsid w:val="0027297F"/>
    <w:rsid w:val="00277BA3"/>
    <w:rsid w:val="002851FA"/>
    <w:rsid w:val="00286E12"/>
    <w:rsid w:val="002929F9"/>
    <w:rsid w:val="002B1F0A"/>
    <w:rsid w:val="002B5704"/>
    <w:rsid w:val="002C03F2"/>
    <w:rsid w:val="002D7A4F"/>
    <w:rsid w:val="002F17A3"/>
    <w:rsid w:val="002F5A05"/>
    <w:rsid w:val="002F6EED"/>
    <w:rsid w:val="00304FA2"/>
    <w:rsid w:val="00322D67"/>
    <w:rsid w:val="00324C3A"/>
    <w:rsid w:val="003442A6"/>
    <w:rsid w:val="00364253"/>
    <w:rsid w:val="0036606E"/>
    <w:rsid w:val="003714AF"/>
    <w:rsid w:val="003A02CF"/>
    <w:rsid w:val="003D3E24"/>
    <w:rsid w:val="003E1A08"/>
    <w:rsid w:val="003E1CC8"/>
    <w:rsid w:val="00404AEA"/>
    <w:rsid w:val="00420299"/>
    <w:rsid w:val="00431D97"/>
    <w:rsid w:val="00442528"/>
    <w:rsid w:val="0045187C"/>
    <w:rsid w:val="00462CBA"/>
    <w:rsid w:val="004649E5"/>
    <w:rsid w:val="00476033"/>
    <w:rsid w:val="00477DED"/>
    <w:rsid w:val="00490522"/>
    <w:rsid w:val="0049593C"/>
    <w:rsid w:val="004A0377"/>
    <w:rsid w:val="004A7F23"/>
    <w:rsid w:val="004B045A"/>
    <w:rsid w:val="004C4190"/>
    <w:rsid w:val="004C6551"/>
    <w:rsid w:val="004D13B1"/>
    <w:rsid w:val="004E07DD"/>
    <w:rsid w:val="004E59F4"/>
    <w:rsid w:val="00501A5E"/>
    <w:rsid w:val="0052349E"/>
    <w:rsid w:val="00541CBA"/>
    <w:rsid w:val="005422E5"/>
    <w:rsid w:val="005612A4"/>
    <w:rsid w:val="00582CCD"/>
    <w:rsid w:val="00595BA4"/>
    <w:rsid w:val="00596A60"/>
    <w:rsid w:val="005B1877"/>
    <w:rsid w:val="005B23D1"/>
    <w:rsid w:val="005B6930"/>
    <w:rsid w:val="005C1E53"/>
    <w:rsid w:val="005D3603"/>
    <w:rsid w:val="005E0BFC"/>
    <w:rsid w:val="005E2F82"/>
    <w:rsid w:val="005F40A0"/>
    <w:rsid w:val="005F7FAE"/>
    <w:rsid w:val="00601EED"/>
    <w:rsid w:val="006102CE"/>
    <w:rsid w:val="006118D7"/>
    <w:rsid w:val="006216AA"/>
    <w:rsid w:val="00635EEB"/>
    <w:rsid w:val="00654F50"/>
    <w:rsid w:val="006576BE"/>
    <w:rsid w:val="00662AC6"/>
    <w:rsid w:val="0066686C"/>
    <w:rsid w:val="00667EEB"/>
    <w:rsid w:val="00675664"/>
    <w:rsid w:val="00692DE6"/>
    <w:rsid w:val="006934B9"/>
    <w:rsid w:val="0069553F"/>
    <w:rsid w:val="0069670F"/>
    <w:rsid w:val="006A3795"/>
    <w:rsid w:val="006A418F"/>
    <w:rsid w:val="006B6ADD"/>
    <w:rsid w:val="006D4589"/>
    <w:rsid w:val="006E06F9"/>
    <w:rsid w:val="006E51BA"/>
    <w:rsid w:val="00704C52"/>
    <w:rsid w:val="0071159C"/>
    <w:rsid w:val="00712DD6"/>
    <w:rsid w:val="00714300"/>
    <w:rsid w:val="00722A8A"/>
    <w:rsid w:val="00724B95"/>
    <w:rsid w:val="007279DF"/>
    <w:rsid w:val="0073248F"/>
    <w:rsid w:val="00737958"/>
    <w:rsid w:val="00741FE0"/>
    <w:rsid w:val="007561D7"/>
    <w:rsid w:val="00761867"/>
    <w:rsid w:val="00763190"/>
    <w:rsid w:val="00767EF4"/>
    <w:rsid w:val="007806A6"/>
    <w:rsid w:val="00783E17"/>
    <w:rsid w:val="007A380E"/>
    <w:rsid w:val="007B4F90"/>
    <w:rsid w:val="007D128A"/>
    <w:rsid w:val="007D476D"/>
    <w:rsid w:val="007F2BA2"/>
    <w:rsid w:val="007F507B"/>
    <w:rsid w:val="00804E90"/>
    <w:rsid w:val="00806B97"/>
    <w:rsid w:val="0081310A"/>
    <w:rsid w:val="008162F3"/>
    <w:rsid w:val="00822C1B"/>
    <w:rsid w:val="00824389"/>
    <w:rsid w:val="00835B95"/>
    <w:rsid w:val="00840C7D"/>
    <w:rsid w:val="00863313"/>
    <w:rsid w:val="00883666"/>
    <w:rsid w:val="008A0E67"/>
    <w:rsid w:val="008A4625"/>
    <w:rsid w:val="008A6863"/>
    <w:rsid w:val="008B6903"/>
    <w:rsid w:val="008B7910"/>
    <w:rsid w:val="008C14A0"/>
    <w:rsid w:val="008C365F"/>
    <w:rsid w:val="008E1B52"/>
    <w:rsid w:val="008E4B6B"/>
    <w:rsid w:val="008E69D4"/>
    <w:rsid w:val="008F0B04"/>
    <w:rsid w:val="008F2959"/>
    <w:rsid w:val="009039AD"/>
    <w:rsid w:val="009067D5"/>
    <w:rsid w:val="0094519D"/>
    <w:rsid w:val="00946AC2"/>
    <w:rsid w:val="00954E1D"/>
    <w:rsid w:val="00957590"/>
    <w:rsid w:val="009822F6"/>
    <w:rsid w:val="00984C53"/>
    <w:rsid w:val="00993DA3"/>
    <w:rsid w:val="00997100"/>
    <w:rsid w:val="009C57BA"/>
    <w:rsid w:val="009D17A7"/>
    <w:rsid w:val="009E0280"/>
    <w:rsid w:val="009E0E26"/>
    <w:rsid w:val="009F7708"/>
    <w:rsid w:val="00A02A1A"/>
    <w:rsid w:val="00A073BC"/>
    <w:rsid w:val="00A12307"/>
    <w:rsid w:val="00A12377"/>
    <w:rsid w:val="00A1368B"/>
    <w:rsid w:val="00A13CB4"/>
    <w:rsid w:val="00A1449E"/>
    <w:rsid w:val="00A172A2"/>
    <w:rsid w:val="00A23192"/>
    <w:rsid w:val="00A23E1F"/>
    <w:rsid w:val="00A27CF3"/>
    <w:rsid w:val="00A406CE"/>
    <w:rsid w:val="00A54A74"/>
    <w:rsid w:val="00A64B49"/>
    <w:rsid w:val="00A7114B"/>
    <w:rsid w:val="00A72D5C"/>
    <w:rsid w:val="00A7798B"/>
    <w:rsid w:val="00AA7983"/>
    <w:rsid w:val="00AB1732"/>
    <w:rsid w:val="00AB6149"/>
    <w:rsid w:val="00AB7CBF"/>
    <w:rsid w:val="00AC23A0"/>
    <w:rsid w:val="00AD034B"/>
    <w:rsid w:val="00AD70BB"/>
    <w:rsid w:val="00AD7E04"/>
    <w:rsid w:val="00B0275F"/>
    <w:rsid w:val="00B0290A"/>
    <w:rsid w:val="00B07212"/>
    <w:rsid w:val="00B114A2"/>
    <w:rsid w:val="00B20338"/>
    <w:rsid w:val="00B23D44"/>
    <w:rsid w:val="00B32930"/>
    <w:rsid w:val="00B42FC5"/>
    <w:rsid w:val="00B43A7B"/>
    <w:rsid w:val="00B46EF4"/>
    <w:rsid w:val="00B47F9C"/>
    <w:rsid w:val="00B877E7"/>
    <w:rsid w:val="00BA239F"/>
    <w:rsid w:val="00BD47BB"/>
    <w:rsid w:val="00BE799C"/>
    <w:rsid w:val="00BF1679"/>
    <w:rsid w:val="00C00410"/>
    <w:rsid w:val="00C023A1"/>
    <w:rsid w:val="00C06253"/>
    <w:rsid w:val="00C23868"/>
    <w:rsid w:val="00C23AA6"/>
    <w:rsid w:val="00C23E6A"/>
    <w:rsid w:val="00C24AE7"/>
    <w:rsid w:val="00C339B3"/>
    <w:rsid w:val="00C36CE9"/>
    <w:rsid w:val="00C51103"/>
    <w:rsid w:val="00C5775F"/>
    <w:rsid w:val="00C578A5"/>
    <w:rsid w:val="00C67C83"/>
    <w:rsid w:val="00C7163E"/>
    <w:rsid w:val="00C861F8"/>
    <w:rsid w:val="00C91A95"/>
    <w:rsid w:val="00C93474"/>
    <w:rsid w:val="00C94A43"/>
    <w:rsid w:val="00CA15A8"/>
    <w:rsid w:val="00CA4F5E"/>
    <w:rsid w:val="00CA794D"/>
    <w:rsid w:val="00CC1338"/>
    <w:rsid w:val="00CC16B3"/>
    <w:rsid w:val="00CC3CF6"/>
    <w:rsid w:val="00CD3D73"/>
    <w:rsid w:val="00CE0680"/>
    <w:rsid w:val="00CE5954"/>
    <w:rsid w:val="00CF0DE1"/>
    <w:rsid w:val="00CF5DBC"/>
    <w:rsid w:val="00D04A7B"/>
    <w:rsid w:val="00D11AC8"/>
    <w:rsid w:val="00D4456E"/>
    <w:rsid w:val="00D565A8"/>
    <w:rsid w:val="00D6168E"/>
    <w:rsid w:val="00D95A79"/>
    <w:rsid w:val="00D965E7"/>
    <w:rsid w:val="00DA2DFF"/>
    <w:rsid w:val="00DA5909"/>
    <w:rsid w:val="00DA79E9"/>
    <w:rsid w:val="00DB1275"/>
    <w:rsid w:val="00DB626C"/>
    <w:rsid w:val="00DC1BED"/>
    <w:rsid w:val="00DD1D0F"/>
    <w:rsid w:val="00DE72DE"/>
    <w:rsid w:val="00E113C4"/>
    <w:rsid w:val="00E325CC"/>
    <w:rsid w:val="00E43F09"/>
    <w:rsid w:val="00E47E50"/>
    <w:rsid w:val="00E5015B"/>
    <w:rsid w:val="00E637EF"/>
    <w:rsid w:val="00E65B5D"/>
    <w:rsid w:val="00E71A57"/>
    <w:rsid w:val="00E71ECF"/>
    <w:rsid w:val="00E8009B"/>
    <w:rsid w:val="00E80CEE"/>
    <w:rsid w:val="00E8154D"/>
    <w:rsid w:val="00E8413E"/>
    <w:rsid w:val="00E94C12"/>
    <w:rsid w:val="00EA504F"/>
    <w:rsid w:val="00EB17A7"/>
    <w:rsid w:val="00EB5D78"/>
    <w:rsid w:val="00EC0C16"/>
    <w:rsid w:val="00EC1B60"/>
    <w:rsid w:val="00ED54D4"/>
    <w:rsid w:val="00ED7CB3"/>
    <w:rsid w:val="00EE0999"/>
    <w:rsid w:val="00EE117E"/>
    <w:rsid w:val="00EE121B"/>
    <w:rsid w:val="00EF5CAD"/>
    <w:rsid w:val="00F06BE6"/>
    <w:rsid w:val="00F135E4"/>
    <w:rsid w:val="00F15C91"/>
    <w:rsid w:val="00F24167"/>
    <w:rsid w:val="00F24933"/>
    <w:rsid w:val="00F26A07"/>
    <w:rsid w:val="00F402DF"/>
    <w:rsid w:val="00F4619E"/>
    <w:rsid w:val="00F533B0"/>
    <w:rsid w:val="00F538AA"/>
    <w:rsid w:val="00F56FBD"/>
    <w:rsid w:val="00F63D9A"/>
    <w:rsid w:val="00F7081B"/>
    <w:rsid w:val="00F75166"/>
    <w:rsid w:val="00F751AC"/>
    <w:rsid w:val="00F80704"/>
    <w:rsid w:val="00F86A13"/>
    <w:rsid w:val="00F90880"/>
    <w:rsid w:val="00F92E46"/>
    <w:rsid w:val="00FA0BBA"/>
    <w:rsid w:val="00FB108A"/>
    <w:rsid w:val="00FC00ED"/>
    <w:rsid w:val="00FD1931"/>
    <w:rsid w:val="00FD4FAA"/>
    <w:rsid w:val="00FD60F1"/>
    <w:rsid w:val="00FE55BC"/>
    <w:rsid w:val="00FF3508"/>
    <w:rsid w:val="5DEE0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Cambria" w:hAnsi="Cambria"/>
      <w:b/>
      <w:bCs/>
      <w:sz w:val="32"/>
      <w:szCs w:val="32"/>
      <w:lang w:val="zh-CN" w:eastAsia="zh-CN"/>
    </w:rPr>
  </w:style>
  <w:style w:type="paragraph" w:styleId="4">
    <w:name w:val="heading 3"/>
    <w:basedOn w:val="1"/>
    <w:next w:val="1"/>
    <w:link w:val="25"/>
    <w:qFormat/>
    <w:uiPriority w:val="0"/>
    <w:pPr>
      <w:keepNext/>
      <w:keepLines/>
      <w:spacing w:before="260" w:after="260" w:line="416" w:lineRule="auto"/>
      <w:outlineLvl w:val="2"/>
    </w:pPr>
    <w:rPr>
      <w:b/>
      <w:bCs/>
      <w:sz w:val="32"/>
      <w:szCs w:val="32"/>
      <w:lang w:val="zh-CN" w:eastAsia="zh-CN"/>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8">
    <w:name w:val="Normal Indent"/>
    <w:basedOn w:val="1"/>
    <w:uiPriority w:val="0"/>
    <w:pPr>
      <w:ind w:left="720"/>
    </w:pPr>
    <w:rPr>
      <w:sz w:val="24"/>
    </w:rPr>
  </w:style>
  <w:style w:type="paragraph" w:styleId="9">
    <w:name w:val="Document Map"/>
    <w:basedOn w:val="1"/>
    <w:link w:val="37"/>
    <w:semiHidden/>
    <w:unhideWhenUsed/>
    <w:qFormat/>
    <w:uiPriority w:val="99"/>
    <w:rPr>
      <w:rFonts w:ascii="宋体"/>
      <w:sz w:val="18"/>
      <w:szCs w:val="18"/>
    </w:rPr>
  </w:style>
  <w:style w:type="paragraph" w:styleId="10">
    <w:name w:val="Body Text"/>
    <w:basedOn w:val="1"/>
    <w:link w:val="36"/>
    <w:unhideWhenUsed/>
    <w:uiPriority w:val="0"/>
    <w:pPr>
      <w:spacing w:after="120"/>
    </w:pPr>
    <w:rPr>
      <w:szCs w:val="24"/>
    </w:rPr>
  </w:style>
  <w:style w:type="paragraph" w:styleId="11">
    <w:name w:val="Body Text Indent"/>
    <w:basedOn w:val="1"/>
    <w:link w:val="26"/>
    <w:qFormat/>
    <w:uiPriority w:val="0"/>
    <w:pPr>
      <w:spacing w:line="360" w:lineRule="auto"/>
      <w:ind w:firstLine="480" w:firstLineChars="200"/>
    </w:pPr>
    <w:rPr>
      <w:rFonts w:asciiTheme="minorHAnsi" w:hAnsiTheme="minorHAnsi" w:eastAsiaTheme="minorEastAsia" w:cstheme="minorBidi"/>
      <w:sz w:val="24"/>
      <w:szCs w:val="22"/>
    </w:rPr>
  </w:style>
  <w:style w:type="paragraph" w:styleId="12">
    <w:name w:val="toc 3"/>
    <w:basedOn w:val="1"/>
    <w:next w:val="1"/>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Balloon Text"/>
    <w:basedOn w:val="1"/>
    <w:link w:val="41"/>
    <w:semiHidden/>
    <w:unhideWhenUsed/>
    <w:uiPriority w:val="99"/>
    <w:rPr>
      <w:sz w:val="18"/>
      <w:szCs w:val="18"/>
    </w:rPr>
  </w:style>
  <w:style w:type="paragraph" w:styleId="14">
    <w:name w:val="footer"/>
    <w:basedOn w:val="1"/>
    <w:link w:val="29"/>
    <w:uiPriority w:val="0"/>
    <w:pPr>
      <w:tabs>
        <w:tab w:val="center" w:pos="4153"/>
        <w:tab w:val="right" w:pos="8306"/>
      </w:tabs>
      <w:snapToGrid w:val="0"/>
      <w:jc w:val="left"/>
    </w:pPr>
    <w:rPr>
      <w:sz w:val="18"/>
    </w:rPr>
  </w:style>
  <w:style w:type="paragraph" w:styleId="15">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iPriority w:val="39"/>
  </w:style>
  <w:style w:type="paragraph" w:styleId="17">
    <w:name w:val="toc 2"/>
    <w:basedOn w:val="1"/>
    <w:next w:val="1"/>
    <w:unhideWhenUsed/>
    <w:uiPriority w:val="39"/>
    <w:pPr>
      <w:widowControl/>
      <w:spacing w:after="100" w:line="259" w:lineRule="auto"/>
      <w:ind w:left="220"/>
      <w:jc w:val="left"/>
    </w:pPr>
    <w:rPr>
      <w:rFonts w:asciiTheme="minorHAnsi" w:hAnsiTheme="minorHAnsi" w:eastAsiaTheme="minorEastAsia"/>
      <w:kern w:val="0"/>
      <w:sz w:val="22"/>
      <w:szCs w:val="22"/>
    </w:rPr>
  </w:style>
  <w:style w:type="character" w:styleId="19">
    <w:name w:val="page number"/>
    <w:basedOn w:val="18"/>
    <w:uiPriority w:val="0"/>
  </w:style>
  <w:style w:type="character" w:styleId="20">
    <w:name w:val="Hyperlink"/>
    <w:basedOn w:val="18"/>
    <w:unhideWhenUsed/>
    <w:uiPriority w:val="99"/>
    <w:rPr>
      <w:color w:val="0000FF" w:themeColor="hyperlink"/>
      <w:u w:val="single"/>
      <w14:textFill>
        <w14:solidFill>
          <w14:schemeClr w14:val="hlink"/>
        </w14:solidFill>
      </w14:textFill>
    </w:rPr>
  </w:style>
  <w:style w:type="character" w:styleId="21">
    <w:name w:val="annotation reference"/>
    <w:uiPriority w:val="0"/>
    <w:rPr>
      <w:sz w:val="21"/>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4">
    <w:name w:val="标题 2 Char"/>
    <w:basedOn w:val="18"/>
    <w:link w:val="3"/>
    <w:qFormat/>
    <w:uiPriority w:val="0"/>
    <w:rPr>
      <w:rFonts w:ascii="Cambria" w:hAnsi="Cambria" w:eastAsia="宋体" w:cs="Times New Roman"/>
      <w:b/>
      <w:bCs/>
      <w:sz w:val="32"/>
      <w:szCs w:val="32"/>
      <w:lang w:val="zh-CN" w:eastAsia="zh-CN"/>
    </w:rPr>
  </w:style>
  <w:style w:type="character" w:customStyle="1" w:styleId="25">
    <w:name w:val="标题 3 Char"/>
    <w:basedOn w:val="18"/>
    <w:link w:val="4"/>
    <w:uiPriority w:val="0"/>
    <w:rPr>
      <w:rFonts w:ascii="Times New Roman" w:hAnsi="Times New Roman" w:eastAsia="宋体" w:cs="Times New Roman"/>
      <w:b/>
      <w:bCs/>
      <w:sz w:val="32"/>
      <w:szCs w:val="32"/>
      <w:lang w:val="zh-CN" w:eastAsia="zh-CN"/>
    </w:rPr>
  </w:style>
  <w:style w:type="character" w:customStyle="1" w:styleId="26">
    <w:name w:val="正文文本缩进 Char"/>
    <w:link w:val="11"/>
    <w:qFormat/>
    <w:uiPriority w:val="0"/>
    <w:rPr>
      <w:sz w:val="24"/>
    </w:rPr>
  </w:style>
  <w:style w:type="character" w:customStyle="1" w:styleId="27">
    <w:name w:val="正文文本缩进 Char1"/>
    <w:basedOn w:val="18"/>
    <w:semiHidden/>
    <w:qFormat/>
    <w:uiPriority w:val="99"/>
    <w:rPr>
      <w:rFonts w:ascii="Times New Roman" w:hAnsi="Times New Roman" w:eastAsia="宋体" w:cs="Times New Roman"/>
      <w:szCs w:val="20"/>
    </w:rPr>
  </w:style>
  <w:style w:type="character" w:customStyle="1" w:styleId="28">
    <w:name w:val="页眉 Char"/>
    <w:basedOn w:val="18"/>
    <w:link w:val="15"/>
    <w:uiPriority w:val="0"/>
    <w:rPr>
      <w:rFonts w:ascii="Times New Roman" w:hAnsi="Times New Roman" w:eastAsia="宋体" w:cs="Times New Roman"/>
      <w:sz w:val="18"/>
      <w:szCs w:val="20"/>
    </w:rPr>
  </w:style>
  <w:style w:type="character" w:customStyle="1" w:styleId="29">
    <w:name w:val="页脚 Char"/>
    <w:basedOn w:val="18"/>
    <w:link w:val="14"/>
    <w:uiPriority w:val="0"/>
    <w:rPr>
      <w:rFonts w:ascii="Times New Roman" w:hAnsi="Times New Roman" w:eastAsia="宋体" w:cs="Times New Roman"/>
      <w:sz w:val="18"/>
      <w:szCs w:val="20"/>
    </w:rPr>
  </w:style>
  <w:style w:type="character" w:customStyle="1" w:styleId="30">
    <w:name w:val="标题 4 Char"/>
    <w:basedOn w:val="18"/>
    <w:link w:val="5"/>
    <w:semiHidden/>
    <w:uiPriority w:val="9"/>
    <w:rPr>
      <w:rFonts w:asciiTheme="majorHAnsi" w:hAnsiTheme="majorHAnsi" w:eastAsiaTheme="majorEastAsia" w:cstheme="majorBidi"/>
      <w:b/>
      <w:bCs/>
      <w:sz w:val="28"/>
      <w:szCs w:val="28"/>
    </w:rPr>
  </w:style>
  <w:style w:type="character" w:customStyle="1" w:styleId="31">
    <w:name w:val="标题 5 Char"/>
    <w:basedOn w:val="18"/>
    <w:link w:val="6"/>
    <w:semiHidden/>
    <w:uiPriority w:val="9"/>
    <w:rPr>
      <w:rFonts w:ascii="Times New Roman" w:hAnsi="Times New Roman" w:eastAsia="宋体" w:cs="Times New Roman"/>
      <w:b/>
      <w:bCs/>
      <w:sz w:val="28"/>
      <w:szCs w:val="28"/>
    </w:rPr>
  </w:style>
  <w:style w:type="paragraph" w:styleId="32">
    <w:name w:val="List Paragraph"/>
    <w:basedOn w:val="1"/>
    <w:link w:val="34"/>
    <w:qFormat/>
    <w:uiPriority w:val="34"/>
    <w:pPr>
      <w:ind w:firstLine="420" w:firstLineChars="200"/>
    </w:pPr>
    <w:rPr>
      <w:rFonts w:asciiTheme="minorHAnsi" w:hAnsiTheme="minorHAnsi" w:eastAsiaTheme="minorEastAsia" w:cstheme="minorBidi"/>
      <w:szCs w:val="22"/>
    </w:rPr>
  </w:style>
  <w:style w:type="paragraph" w:customStyle="1" w:styleId="33">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34">
    <w:name w:val="列出段落 Char"/>
    <w:link w:val="32"/>
    <w:locked/>
    <w:uiPriority w:val="34"/>
  </w:style>
  <w:style w:type="character" w:customStyle="1" w:styleId="35">
    <w:name w:val="标题 6 Char"/>
    <w:basedOn w:val="18"/>
    <w:link w:val="7"/>
    <w:semiHidden/>
    <w:uiPriority w:val="9"/>
    <w:rPr>
      <w:rFonts w:asciiTheme="majorHAnsi" w:hAnsiTheme="majorHAnsi" w:eastAsiaTheme="majorEastAsia" w:cstheme="majorBidi"/>
      <w:b/>
      <w:bCs/>
      <w:sz w:val="24"/>
      <w:szCs w:val="24"/>
    </w:rPr>
  </w:style>
  <w:style w:type="character" w:customStyle="1" w:styleId="36">
    <w:name w:val="正文文本 Char"/>
    <w:basedOn w:val="18"/>
    <w:link w:val="10"/>
    <w:uiPriority w:val="0"/>
    <w:rPr>
      <w:rFonts w:ascii="Times New Roman" w:hAnsi="Times New Roman" w:eastAsia="宋体" w:cs="Times New Roman"/>
      <w:szCs w:val="24"/>
    </w:rPr>
  </w:style>
  <w:style w:type="character" w:customStyle="1" w:styleId="37">
    <w:name w:val="文档结构图 Char"/>
    <w:basedOn w:val="18"/>
    <w:link w:val="9"/>
    <w:semiHidden/>
    <w:uiPriority w:val="99"/>
    <w:rPr>
      <w:rFonts w:ascii="宋体" w:hAnsi="Times New Roman" w:eastAsia="宋体" w:cs="Times New Roman"/>
      <w:sz w:val="18"/>
      <w:szCs w:val="18"/>
    </w:rPr>
  </w:style>
  <w:style w:type="character" w:customStyle="1" w:styleId="38">
    <w:name w:val="标题 1 Char"/>
    <w:basedOn w:val="18"/>
    <w:link w:val="2"/>
    <w:uiPriority w:val="9"/>
    <w:rPr>
      <w:rFonts w:ascii="Times New Roman" w:hAnsi="Times New Roman" w:eastAsia="宋体" w:cs="Times New Roman"/>
      <w:b/>
      <w:bCs/>
      <w:kern w:val="44"/>
      <w:sz w:val="44"/>
      <w:szCs w:val="44"/>
    </w:rPr>
  </w:style>
  <w:style w:type="paragraph" w:customStyle="1" w:styleId="39">
    <w:name w:val="图例"/>
    <w:basedOn w:val="1"/>
    <w:qFormat/>
    <w:uiPriority w:val="0"/>
    <w:pPr>
      <w:spacing w:before="120" w:after="120" w:line="360" w:lineRule="auto"/>
      <w:jc w:val="center"/>
    </w:pPr>
    <w:rPr>
      <w:rFonts w:eastAsia="仿宋_GB2312"/>
      <w:b/>
      <w:sz w:val="24"/>
    </w:rPr>
  </w:style>
  <w:style w:type="paragraph" w:customStyle="1" w:styleId="4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1">
    <w:name w:val="批注框文本 Char"/>
    <w:basedOn w:val="18"/>
    <w:link w:val="1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7E358-5A7B-44D5-A221-2FA8C1B9056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1847</Words>
  <Characters>10530</Characters>
  <Lines>87</Lines>
  <Paragraphs>24</Paragraphs>
  <TotalTime>2</TotalTime>
  <ScaleCrop>false</ScaleCrop>
  <LinksUpToDate>false</LinksUpToDate>
  <CharactersWithSpaces>12353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2019-09-23T01:40:00Z</dcterms:created>
  <dc:creator>Administrator</dc:creator>
  <cp:lastModifiedBy>黎勇</cp:lastModifiedBy>
  <dcterms:modified xsi:type="dcterms:W3CDTF">2019-11-19T07:45:16Z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