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附件</w:t>
      </w:r>
      <w:r>
        <w:rPr>
          <w:rFonts w:hint="eastAsia" w:ascii="方正黑体_GBK" w:hAnsi="方正黑体_GBK" w:eastAsia="方正黑体_GBK" w:cs="方正黑体_GBK"/>
          <w:sz w:val="32"/>
          <w:szCs w:val="32"/>
        </w:rPr>
        <w:t>2：评标标准</w:t>
      </w:r>
    </w:p>
    <w:p>
      <w:pPr>
        <w:spacing w:line="560" w:lineRule="exact"/>
        <w:jc w:val="left"/>
        <w:textAlignment w:val="baseline"/>
        <w:rPr>
          <w:rFonts w:hint="eastAsia" w:ascii="方正黑体_GBK" w:hAnsi="方正黑体_GBK" w:eastAsia="方正黑体_GBK" w:cs="方正黑体_GBK"/>
          <w:sz w:val="32"/>
          <w:szCs w:val="32"/>
        </w:rPr>
      </w:pPr>
    </w:p>
    <w:tbl>
      <w:tblPr>
        <w:tblStyle w:val="3"/>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Layout w:type="fixed"/>
        <w:tblCellMar>
          <w:top w:w="0" w:type="dxa"/>
          <w:left w:w="108" w:type="dxa"/>
          <w:bottom w:w="0" w:type="dxa"/>
          <w:right w:w="108" w:type="dxa"/>
        </w:tblCellMar>
      </w:tblPr>
      <w:tblGrid>
        <w:gridCol w:w="729"/>
        <w:gridCol w:w="1144"/>
        <w:gridCol w:w="859"/>
        <w:gridCol w:w="545"/>
        <w:gridCol w:w="5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740" w:hRule="atLeast"/>
          <w:tblHeader/>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黑体_GBK" w:hAnsi="方正黑体_GBK" w:eastAsia="方正黑体_GBK" w:cs="方正黑体_GBK"/>
                <w:b/>
                <w:bCs/>
                <w:color w:val="auto"/>
                <w:kern w:val="0"/>
                <w:sz w:val="28"/>
                <w:szCs w:val="28"/>
              </w:rPr>
            </w:pPr>
            <w:r>
              <w:rPr>
                <w:rFonts w:hint="eastAsia" w:ascii="方正黑体_GBK" w:hAnsi="方正黑体_GBK" w:eastAsia="方正黑体_GBK" w:cs="方正黑体_GBK"/>
                <w:b/>
                <w:bCs/>
                <w:color w:val="auto"/>
                <w:kern w:val="0"/>
                <w:sz w:val="28"/>
                <w:szCs w:val="28"/>
              </w:rPr>
              <w:t>序号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黑体_GBK" w:hAnsi="方正黑体_GBK" w:eastAsia="方正黑体_GBK" w:cs="方正黑体_GBK"/>
                <w:b/>
                <w:bCs/>
                <w:color w:val="auto"/>
                <w:kern w:val="0"/>
                <w:sz w:val="28"/>
                <w:szCs w:val="28"/>
              </w:rPr>
            </w:pPr>
            <w:r>
              <w:rPr>
                <w:rFonts w:hint="eastAsia" w:ascii="方正黑体_GBK" w:hAnsi="方正黑体_GBK" w:eastAsia="方正黑体_GBK" w:cs="方正黑体_GBK"/>
                <w:b/>
                <w:bCs/>
                <w:color w:val="auto"/>
                <w:kern w:val="0"/>
                <w:sz w:val="28"/>
                <w:szCs w:val="28"/>
              </w:rPr>
              <w:t>评分因素及权重</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黑体_GBK" w:hAnsi="方正黑体_GBK" w:eastAsia="方正黑体_GBK" w:cs="方正黑体_GBK"/>
                <w:b/>
                <w:bCs/>
                <w:color w:val="auto"/>
                <w:kern w:val="0"/>
                <w:sz w:val="28"/>
                <w:szCs w:val="28"/>
              </w:rPr>
            </w:pPr>
            <w:r>
              <w:rPr>
                <w:rFonts w:hint="eastAsia" w:ascii="方正黑体_GBK" w:hAnsi="方正黑体_GBK" w:eastAsia="方正黑体_GBK" w:cs="方正黑体_GBK"/>
                <w:b/>
                <w:bCs/>
                <w:color w:val="auto"/>
                <w:kern w:val="0"/>
                <w:sz w:val="28"/>
                <w:szCs w:val="28"/>
              </w:rPr>
              <w:t>分值</w:t>
            </w:r>
          </w:p>
        </w:tc>
        <w:tc>
          <w:tcPr>
            <w:tcW w:w="566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黑体_GBK" w:hAnsi="方正黑体_GBK" w:eastAsia="方正黑体_GBK" w:cs="方正黑体_GBK"/>
                <w:b/>
                <w:bCs/>
                <w:color w:val="auto"/>
                <w:kern w:val="0"/>
                <w:sz w:val="28"/>
                <w:szCs w:val="28"/>
              </w:rPr>
            </w:pPr>
            <w:r>
              <w:rPr>
                <w:rFonts w:hint="eastAsia" w:ascii="方正黑体_GBK" w:hAnsi="方正黑体_GBK" w:eastAsia="方正黑体_GBK" w:cs="方正黑体_GBK"/>
                <w:b/>
                <w:bCs/>
                <w:color w:val="auto"/>
                <w:kern w:val="0"/>
                <w:sz w:val="28"/>
                <w:szCs w:val="28"/>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1950" w:hRule="atLeast"/>
          <w:tblHeader/>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投标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报价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val="en-US" w:eastAsia="zh-CN"/>
              </w:rPr>
              <w:t>15</w:t>
            </w:r>
            <w:r>
              <w:rPr>
                <w:rFonts w:hint="eastAsia" w:ascii="方正仿宋_GBK" w:hAnsi="方正仿宋_GBK" w:eastAsia="方正仿宋_GBK" w:cs="方正仿宋_GBK"/>
                <w:color w:val="auto"/>
                <w:kern w:val="0"/>
                <w:sz w:val="24"/>
                <w:szCs w:val="24"/>
              </w:rPr>
              <w:t>）</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15</w:t>
            </w:r>
          </w:p>
        </w:tc>
        <w:tc>
          <w:tcPr>
            <w:tcW w:w="566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eastAsia"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rPr>
              <w:t>报价</w:t>
            </w:r>
            <w:r>
              <w:rPr>
                <w:rFonts w:hint="eastAsia" w:ascii="Times New Roman" w:hAnsi="Times New Roman" w:eastAsia="方正仿宋_GBK" w:cs="Times New Roman"/>
                <w:color w:val="auto"/>
                <w:sz w:val="24"/>
                <w:highlight w:val="none"/>
                <w:lang w:val="en-US" w:eastAsia="zh-CN"/>
              </w:rPr>
              <w:t>为零的专业咨询机构，得15分</w:t>
            </w:r>
            <w:r>
              <w:rPr>
                <w:rFonts w:hint="eastAsia" w:ascii="Times New Roman" w:hAnsi="Times New Roman" w:eastAsia="方正仿宋_GBK" w:cs="Times New Roman"/>
                <w:color w:val="auto"/>
                <w:sz w:val="24"/>
                <w:highlight w:val="none"/>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default" w:ascii="方正仿宋_GBK" w:hAnsi="方正仿宋_GBK" w:eastAsia="方正仿宋_GBK" w:cs="方正仿宋_GBK"/>
                <w:color w:val="auto"/>
                <w:kern w:val="0"/>
                <w:sz w:val="24"/>
                <w:szCs w:val="24"/>
                <w:lang w:val="en-US" w:eastAsia="zh-CN"/>
              </w:rPr>
            </w:pPr>
            <w:r>
              <w:rPr>
                <w:rFonts w:hint="eastAsia" w:ascii="Times New Roman" w:hAnsi="Times New Roman" w:eastAsia="方正仿宋_GBK" w:cs="Times New Roman"/>
                <w:color w:val="auto"/>
                <w:sz w:val="24"/>
                <w:highlight w:val="none"/>
                <w:lang w:val="en-US" w:eastAsia="zh-CN"/>
              </w:rPr>
              <w:t>其余专业咨询机构，评选小组按专业咨询机构报价金额由低到高排序，报价最低者得10分，</w:t>
            </w:r>
            <w:r>
              <w:rPr>
                <w:rFonts w:hint="default" w:ascii="Times New Roman" w:hAnsi="Times New Roman" w:eastAsia="方正仿宋_GBK" w:cs="Times New Roman"/>
                <w:color w:val="auto"/>
                <w:sz w:val="24"/>
                <w:highlight w:val="none"/>
                <w:lang w:eastAsia="zh-CN"/>
              </w:rPr>
              <w:t>次</w:t>
            </w:r>
            <w:r>
              <w:rPr>
                <w:rFonts w:hint="default" w:ascii="Times New Roman" w:hAnsi="Times New Roman" w:eastAsia="方正仿宋_GBK" w:cs="Times New Roman"/>
                <w:color w:val="auto"/>
                <w:sz w:val="24"/>
                <w:highlight w:val="none"/>
              </w:rPr>
              <w:t>低者扣</w:t>
            </w:r>
            <w:r>
              <w:rPr>
                <w:rFonts w:hint="eastAsia"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lang w:val="en-US" w:eastAsia="zh-CN"/>
              </w:rPr>
              <w:t>分，</w:t>
            </w:r>
            <w:r>
              <w:rPr>
                <w:rFonts w:hint="default" w:ascii="Times New Roman" w:hAnsi="Times New Roman" w:eastAsia="方正仿宋_GBK" w:cs="Times New Roman"/>
                <w:color w:val="auto"/>
                <w:sz w:val="24"/>
                <w:highlight w:val="none"/>
              </w:rPr>
              <w:t>以此类推</w:t>
            </w: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扣完为止</w:t>
            </w: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若同一名次有多个专业咨询机构，不影响下一名次排名及得分。如：两个专业咨询机构均排第二名，得9分；下一名次为第三名，得8分</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153" w:hRule="atLeast"/>
          <w:tblHeader/>
          <w:jc w:val="center"/>
        </w:trPr>
        <w:tc>
          <w:tcPr>
            <w:tcW w:w="729" w:type="dxa"/>
            <w:vMerge w:val="restart"/>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w:t>
            </w:r>
          </w:p>
        </w:tc>
        <w:tc>
          <w:tcPr>
            <w:tcW w:w="1144" w:type="dxa"/>
            <w:vMerge w:val="restart"/>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方案评估</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val="en-US" w:eastAsia="zh-CN"/>
              </w:rPr>
              <w:t>30</w:t>
            </w:r>
            <w:r>
              <w:rPr>
                <w:rFonts w:hint="eastAsia" w:ascii="方正仿宋_GBK" w:hAnsi="方正仿宋_GBK" w:eastAsia="方正仿宋_GBK" w:cs="方正仿宋_GBK"/>
                <w:color w:val="auto"/>
                <w:kern w:val="0"/>
                <w:sz w:val="24"/>
                <w:szCs w:val="24"/>
              </w:rPr>
              <w:t>）</w:t>
            </w:r>
          </w:p>
        </w:tc>
        <w:tc>
          <w:tcPr>
            <w:tcW w:w="859"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框架提纲</w:t>
            </w:r>
          </w:p>
        </w:tc>
        <w:tc>
          <w:tcPr>
            <w:tcW w:w="545"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w:t>
            </w:r>
          </w:p>
        </w:tc>
        <w:tc>
          <w:tcPr>
            <w:tcW w:w="5666" w:type="dxa"/>
            <w:tcBorders>
              <w:left w:val="single" w:color="000000" w:sz="4" w:space="0"/>
              <w:right w:val="single" w:color="auto" w:sz="4" w:space="0"/>
            </w:tcBorders>
            <w:shd w:val="clear" w:color="auto" w:fill="auto"/>
            <w:vAlign w:val="center"/>
          </w:tcPr>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1.认识理解。根据专业咨询机构对本项目背景、项目目标有充分的理解和认识，得0-2分。</w:t>
            </w:r>
          </w:p>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color w:val="auto"/>
                <w:sz w:val="24"/>
                <w:highlight w:val="none"/>
                <w:lang w:val="en-US" w:eastAsia="zh-CN"/>
              </w:rPr>
              <w:t>2.提纲要点。包含项目申报流程、发行流程、资金拨付、还本付息、存续期信息公开等主要内容，得0-3分。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390" w:hRule="atLeast"/>
          <w:tblHeader/>
          <w:jc w:val="center"/>
        </w:trPr>
        <w:tc>
          <w:tcPr>
            <w:tcW w:w="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方正仿宋_GBK" w:hAnsi="方正仿宋_GBK" w:eastAsia="方正仿宋_GBK" w:cs="方正仿宋_GBK"/>
                <w:color w:val="auto"/>
                <w:sz w:val="24"/>
                <w:szCs w:val="24"/>
              </w:rPr>
            </w:pPr>
          </w:p>
        </w:tc>
        <w:tc>
          <w:tcPr>
            <w:tcW w:w="11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方正仿宋_GBK" w:hAnsi="方正仿宋_GBK" w:eastAsia="方正仿宋_GBK" w:cs="方正仿宋_GBK"/>
                <w:color w:val="auto"/>
                <w:sz w:val="24"/>
                <w:szCs w:val="24"/>
              </w:rPr>
            </w:pPr>
          </w:p>
        </w:tc>
        <w:tc>
          <w:tcPr>
            <w:tcW w:w="859"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服务方案</w:t>
            </w:r>
          </w:p>
        </w:tc>
        <w:tc>
          <w:tcPr>
            <w:tcW w:w="545"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w:t>
            </w:r>
          </w:p>
        </w:tc>
        <w:tc>
          <w:tcPr>
            <w:tcW w:w="5666" w:type="dxa"/>
            <w:tcBorders>
              <w:left w:val="single" w:color="000000" w:sz="4" w:space="0"/>
              <w:right w:val="single" w:color="auto" w:sz="4" w:space="0"/>
            </w:tcBorders>
            <w:shd w:val="clear" w:color="auto" w:fill="auto"/>
            <w:vAlign w:val="center"/>
          </w:tcPr>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1.服务思路，与本项目实际情况相符，全面、清晰、角色定位准确，对所需服务的范围界定清晰，与市农业农村委、市财政局相互衔接配合的关键环节阐述明确，所需提交成果可操作性强，附加服务思路新颖，得0-2分。</w:t>
            </w:r>
          </w:p>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color w:val="auto"/>
                <w:sz w:val="24"/>
                <w:highlight w:val="none"/>
                <w:lang w:val="en-US" w:eastAsia="zh-CN"/>
              </w:rPr>
              <w:t>2.服务保障，对本项目提供的建议、服务有相应的承诺，且具体明确，可量化。针对服务过程的重点、难点，提出具备操作性和针对性的解决举措、保障措施等，得0-3分。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153" w:hRule="atLeast"/>
          <w:tblHeader/>
          <w:jc w:val="center"/>
        </w:trPr>
        <w:tc>
          <w:tcPr>
            <w:tcW w:w="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方正仿宋_GBK" w:hAnsi="方正仿宋_GBK" w:eastAsia="方正仿宋_GBK" w:cs="方正仿宋_GBK"/>
                <w:color w:val="auto"/>
                <w:sz w:val="24"/>
                <w:szCs w:val="24"/>
              </w:rPr>
            </w:pPr>
          </w:p>
        </w:tc>
        <w:tc>
          <w:tcPr>
            <w:tcW w:w="11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方正仿宋_GBK" w:hAnsi="方正仿宋_GBK" w:eastAsia="方正仿宋_GBK" w:cs="方正仿宋_GBK"/>
                <w:color w:val="auto"/>
                <w:sz w:val="24"/>
                <w:szCs w:val="24"/>
              </w:rPr>
            </w:pPr>
          </w:p>
        </w:tc>
        <w:tc>
          <w:tcPr>
            <w:tcW w:w="859"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进度安排</w:t>
            </w:r>
          </w:p>
        </w:tc>
        <w:tc>
          <w:tcPr>
            <w:tcW w:w="545"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w:t>
            </w:r>
          </w:p>
        </w:tc>
        <w:tc>
          <w:tcPr>
            <w:tcW w:w="5666" w:type="dxa"/>
            <w:tcBorders>
              <w:left w:val="single" w:color="000000" w:sz="4" w:space="0"/>
              <w:right w:val="single" w:color="auto" w:sz="4" w:space="0"/>
            </w:tcBorders>
            <w:shd w:val="clear" w:color="auto" w:fill="auto"/>
            <w:vAlign w:val="center"/>
          </w:tcPr>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进度安排设计合理，应当按期完成相关工作。</w:t>
            </w:r>
          </w:p>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1.各关键节点的进度安排切实可行，保证进度措施的科学、可操作（得0-2分）。</w:t>
            </w:r>
          </w:p>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2.总体进度计划合理（得0-2分）。</w:t>
            </w:r>
          </w:p>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color w:val="auto"/>
                <w:sz w:val="24"/>
                <w:highlight w:val="none"/>
                <w:lang w:val="en-US" w:eastAsia="zh-CN"/>
              </w:rPr>
              <w:t>3.进度补救措施可行（得0-1分）。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153" w:hRule="atLeast"/>
          <w:tblHeader/>
          <w:jc w:val="center"/>
        </w:trPr>
        <w:tc>
          <w:tcPr>
            <w:tcW w:w="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方正仿宋_GBK" w:hAnsi="方正仿宋_GBK" w:eastAsia="方正仿宋_GBK" w:cs="方正仿宋_GBK"/>
                <w:color w:val="auto"/>
                <w:sz w:val="24"/>
                <w:szCs w:val="24"/>
              </w:rPr>
            </w:pPr>
          </w:p>
        </w:tc>
        <w:tc>
          <w:tcPr>
            <w:tcW w:w="11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kern w:val="0"/>
                <w:sz w:val="24"/>
                <w:szCs w:val="24"/>
              </w:rPr>
            </w:pPr>
          </w:p>
        </w:tc>
        <w:tc>
          <w:tcPr>
            <w:tcW w:w="859"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质量控制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p>
        </w:tc>
        <w:tc>
          <w:tcPr>
            <w:tcW w:w="545"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w:t>
            </w:r>
          </w:p>
        </w:tc>
        <w:tc>
          <w:tcPr>
            <w:tcW w:w="5666" w:type="dxa"/>
            <w:tcBorders>
              <w:left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baseline"/>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color w:val="auto"/>
                <w:sz w:val="24"/>
                <w:highlight w:val="none"/>
                <w:lang w:val="en-US" w:eastAsia="zh-CN"/>
              </w:rPr>
              <w:t>针对本次咨询服务，出具可行研究报告、项目实施方案、《财务平衡评价报告》、《项目法律意见书》和资金管理、第三方管控等工作质量控制的方式方法科学、规范、有效，得0-5分。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1320" w:hRule="atLeast"/>
          <w:tblHeader/>
          <w:jc w:val="center"/>
        </w:trPr>
        <w:tc>
          <w:tcPr>
            <w:tcW w:w="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方正仿宋_GBK" w:hAnsi="方正仿宋_GBK" w:eastAsia="方正仿宋_GBK" w:cs="方正仿宋_GBK"/>
                <w:color w:val="auto"/>
                <w:sz w:val="24"/>
                <w:szCs w:val="24"/>
              </w:rPr>
            </w:pPr>
          </w:p>
        </w:tc>
        <w:tc>
          <w:tcPr>
            <w:tcW w:w="11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kern w:val="0"/>
                <w:sz w:val="24"/>
                <w:szCs w:val="24"/>
              </w:rPr>
            </w:pPr>
          </w:p>
        </w:tc>
        <w:tc>
          <w:tcPr>
            <w:tcW w:w="859"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资金</w:t>
            </w:r>
            <w:r>
              <w:rPr>
                <w:rFonts w:hint="eastAsia" w:ascii="方正仿宋_GBK" w:hAnsi="方正仿宋_GBK" w:eastAsia="方正仿宋_GBK" w:cs="方正仿宋_GBK"/>
                <w:color w:val="auto"/>
                <w:sz w:val="24"/>
                <w:szCs w:val="24"/>
                <w:lang w:val="en-US" w:eastAsia="zh-CN"/>
              </w:rPr>
              <w:t>账户服务</w:t>
            </w:r>
            <w:r>
              <w:rPr>
                <w:rFonts w:hint="eastAsia" w:ascii="方正仿宋_GBK" w:hAnsi="方正仿宋_GBK" w:eastAsia="方正仿宋_GBK" w:cs="方正仿宋_GBK"/>
                <w:color w:val="auto"/>
                <w:sz w:val="24"/>
                <w:szCs w:val="24"/>
              </w:rPr>
              <w:t>方案</w:t>
            </w:r>
          </w:p>
        </w:tc>
        <w:tc>
          <w:tcPr>
            <w:tcW w:w="545"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5</w:t>
            </w:r>
          </w:p>
        </w:tc>
        <w:tc>
          <w:tcPr>
            <w:tcW w:w="5666" w:type="dxa"/>
            <w:tcBorders>
              <w:left w:val="single" w:color="000000" w:sz="4" w:space="0"/>
              <w:right w:val="single" w:color="auto" w:sz="4" w:space="0"/>
            </w:tcBorders>
            <w:shd w:val="clear" w:color="auto" w:fill="auto"/>
            <w:vAlign w:val="center"/>
          </w:tcPr>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资金账户服务方案切实可行，既注重服务效率，又体现合理收益，同时资金安全保障措施有力，拨付及时到位，得0-5分。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153" w:hRule="atLeast"/>
          <w:tblHeader/>
          <w:jc w:val="center"/>
        </w:trPr>
        <w:tc>
          <w:tcPr>
            <w:tcW w:w="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方正仿宋_GBK" w:hAnsi="方正仿宋_GBK" w:eastAsia="方正仿宋_GBK" w:cs="方正仿宋_GBK"/>
                <w:color w:val="auto"/>
                <w:sz w:val="24"/>
                <w:szCs w:val="24"/>
              </w:rPr>
            </w:pPr>
          </w:p>
        </w:tc>
        <w:tc>
          <w:tcPr>
            <w:tcW w:w="11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kern w:val="0"/>
                <w:sz w:val="24"/>
                <w:szCs w:val="24"/>
              </w:rPr>
            </w:pPr>
          </w:p>
        </w:tc>
        <w:tc>
          <w:tcPr>
            <w:tcW w:w="859"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highlight w:val="none"/>
              </w:rPr>
              <w:t>申报材料质量</w:t>
            </w:r>
          </w:p>
        </w:tc>
        <w:tc>
          <w:tcPr>
            <w:tcW w:w="545" w:type="dxa"/>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w:t>
            </w:r>
          </w:p>
        </w:tc>
        <w:tc>
          <w:tcPr>
            <w:tcW w:w="5666" w:type="dxa"/>
            <w:tcBorders>
              <w:left w:val="single" w:color="000000" w:sz="4" w:space="0"/>
              <w:right w:val="single" w:color="auto" w:sz="4" w:space="0"/>
            </w:tcBorders>
            <w:shd w:val="clear" w:color="auto" w:fill="auto"/>
            <w:vAlign w:val="center"/>
          </w:tcPr>
          <w:p>
            <w:pPr>
              <w:keepNext w:val="0"/>
              <w:keepLines w:val="0"/>
              <w:pageBreakBefore w:val="0"/>
              <w:widowControl w:val="0"/>
              <w:tabs>
                <w:tab w:val="left" w:pos="312"/>
              </w:tabs>
              <w:kinsoku/>
              <w:wordWrap/>
              <w:overflowPunct/>
              <w:topLinePunct w:val="0"/>
              <w:autoSpaceDE/>
              <w:autoSpaceDN/>
              <w:bidi w:val="0"/>
              <w:adjustRightInd/>
              <w:snapToGrid/>
              <w:spacing w:line="300" w:lineRule="exact"/>
              <w:textAlignment w:val="baseline"/>
              <w:rPr>
                <w:rFonts w:hint="eastAsia"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申报材料完整、齐备、装订美观整洁，得满分。否则酌情扣分。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2369" w:hRule="atLeast"/>
          <w:tblHeader/>
          <w:jc w:val="center"/>
        </w:trPr>
        <w:tc>
          <w:tcPr>
            <w:tcW w:w="7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3</w:t>
            </w:r>
          </w:p>
        </w:tc>
        <w:tc>
          <w:tcPr>
            <w:tcW w:w="11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rPr>
              <w:t>综合服务实力</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val="en-US" w:eastAsia="zh-CN"/>
              </w:rPr>
              <w:t>55</w:t>
            </w:r>
            <w:r>
              <w:rPr>
                <w:rFonts w:hint="eastAsia" w:ascii="方正仿宋_GBK" w:hAnsi="方正仿宋_GBK" w:eastAsia="方正仿宋_GBK" w:cs="方正仿宋_GBK"/>
                <w:color w:val="auto"/>
                <w:kern w:val="0"/>
                <w:sz w:val="24"/>
                <w:szCs w:val="24"/>
              </w:rPr>
              <w:t>）</w:t>
            </w:r>
          </w:p>
        </w:tc>
        <w:tc>
          <w:tcPr>
            <w:tcW w:w="85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资信</w:t>
            </w:r>
          </w:p>
        </w:tc>
        <w:tc>
          <w:tcPr>
            <w:tcW w:w="54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w:t>
            </w:r>
          </w:p>
        </w:tc>
        <w:tc>
          <w:tcPr>
            <w:tcW w:w="5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专业咨询机构及服务支撑单位均</w:t>
            </w:r>
            <w:r>
              <w:rPr>
                <w:rFonts w:hint="default" w:ascii="Times New Roman" w:hAnsi="Times New Roman" w:eastAsia="方正仿宋_GBK" w:cs="Times New Roman"/>
                <w:color w:val="auto"/>
                <w:sz w:val="24"/>
                <w:highlight w:val="none"/>
              </w:rPr>
              <w:t>具</w:t>
            </w:r>
            <w:r>
              <w:rPr>
                <w:rFonts w:hint="eastAsia" w:ascii="Times New Roman" w:hAnsi="Times New Roman" w:eastAsia="方正仿宋_GBK" w:cs="Times New Roman"/>
                <w:color w:val="auto"/>
                <w:sz w:val="24"/>
                <w:highlight w:val="none"/>
                <w:lang w:val="en-US" w:eastAsia="zh-CN"/>
              </w:rPr>
              <w:t>有</w:t>
            </w:r>
            <w:r>
              <w:rPr>
                <w:rFonts w:hint="default" w:ascii="Times New Roman" w:hAnsi="Times New Roman" w:eastAsia="方正仿宋_GBK" w:cs="Times New Roman"/>
                <w:color w:val="auto"/>
                <w:sz w:val="24"/>
                <w:highlight w:val="none"/>
              </w:rPr>
              <w:t>独立法人资格</w:t>
            </w:r>
            <w:r>
              <w:rPr>
                <w:rFonts w:hint="default"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专业咨询机构根据其行业地位和实力，得1-2分。服务支撑单位，其中：可研编制单位</w:t>
            </w:r>
            <w:r>
              <w:rPr>
                <w:rFonts w:hint="default" w:ascii="Times New Roman" w:hAnsi="Times New Roman" w:eastAsia="方正仿宋_GBK" w:cs="Times New Roman"/>
                <w:color w:val="auto"/>
                <w:sz w:val="24"/>
                <w:highlight w:val="none"/>
              </w:rPr>
              <w:t>具有甲级</w:t>
            </w:r>
            <w:r>
              <w:rPr>
                <w:rFonts w:hint="eastAsia" w:ascii="Times New Roman" w:hAnsi="Times New Roman" w:eastAsia="方正仿宋_GBK" w:cs="Times New Roman"/>
                <w:color w:val="auto"/>
                <w:sz w:val="24"/>
                <w:highlight w:val="none"/>
                <w:lang w:val="en-US" w:eastAsia="zh-CN"/>
              </w:rPr>
              <w:t>资信的2</w:t>
            </w:r>
            <w:r>
              <w:rPr>
                <w:rFonts w:hint="default" w:ascii="Times New Roman" w:hAnsi="Times New Roman" w:eastAsia="方正仿宋_GBK" w:cs="Times New Roman"/>
                <w:color w:val="auto"/>
                <w:sz w:val="24"/>
                <w:highlight w:val="none"/>
              </w:rPr>
              <w:t>分，具有乙级</w:t>
            </w:r>
            <w:r>
              <w:rPr>
                <w:rFonts w:hint="eastAsia" w:ascii="Times New Roman" w:hAnsi="Times New Roman" w:eastAsia="方正仿宋_GBK" w:cs="Times New Roman"/>
                <w:color w:val="auto"/>
                <w:sz w:val="24"/>
                <w:highlight w:val="none"/>
                <w:lang w:val="en-US" w:eastAsia="zh-CN"/>
              </w:rPr>
              <w:t>资信的</w:t>
            </w:r>
            <w:r>
              <w:rPr>
                <w:rFonts w:hint="default" w:ascii="Times New Roman" w:hAnsi="Times New Roman" w:eastAsia="方正仿宋_GBK" w:cs="Times New Roman"/>
                <w:color w:val="auto"/>
                <w:sz w:val="24"/>
                <w:highlight w:val="none"/>
              </w:rPr>
              <w:t>得</w:t>
            </w:r>
            <w:r>
              <w:rPr>
                <w:rFonts w:hint="eastAsia"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分</w:t>
            </w: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会所根据其行业地位和实力，得1-2分；律所根据其行业地位和实力，得1-2分；资金管理单位根据其行业地位和实力，得1-2分；</w:t>
            </w:r>
            <w:r>
              <w:rPr>
                <w:rFonts w:hint="eastAsia" w:ascii="Times New Roman" w:hAnsi="Times New Roman" w:eastAsia="方正仿宋_GBK" w:cs="Times New Roman"/>
                <w:color w:val="auto"/>
                <w:sz w:val="24"/>
                <w:highlight w:val="none"/>
                <w:lang w:eastAsia="zh-CN"/>
              </w:rPr>
              <w:t>相关资质未提供证明的，不得分。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2369" w:hRule="atLeast"/>
          <w:tblHeader/>
          <w:jc w:val="center"/>
        </w:trPr>
        <w:tc>
          <w:tcPr>
            <w:tcW w:w="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kern w:val="0"/>
                <w:sz w:val="24"/>
                <w:szCs w:val="24"/>
                <w:lang w:eastAsia="zh-CN"/>
              </w:rPr>
            </w:pPr>
          </w:p>
        </w:tc>
        <w:tc>
          <w:tcPr>
            <w:tcW w:w="11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p>
        </w:tc>
        <w:tc>
          <w:tcPr>
            <w:tcW w:w="85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人员配置</w:t>
            </w:r>
          </w:p>
        </w:tc>
        <w:tc>
          <w:tcPr>
            <w:tcW w:w="54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20</w:t>
            </w:r>
          </w:p>
        </w:tc>
        <w:tc>
          <w:tcPr>
            <w:tcW w:w="5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针对该项目组建专门服务团队，成员不少于8人</w:t>
            </w:r>
            <w:r>
              <w:rPr>
                <w:rFonts w:hint="default" w:ascii="Times New Roman" w:hAnsi="Times New Roman" w:eastAsia="方正仿宋_GBK" w:cs="Times New Roman"/>
                <w:color w:val="auto"/>
                <w:sz w:val="24"/>
                <w:highlight w:val="none"/>
                <w:lang w:val="en-US" w:eastAsia="zh-CN"/>
              </w:rPr>
              <w:t>，为</w:t>
            </w:r>
            <w:r>
              <w:rPr>
                <w:rFonts w:hint="eastAsia" w:ascii="Times New Roman" w:hAnsi="Times New Roman" w:eastAsia="方正仿宋_GBK" w:cs="Times New Roman"/>
                <w:color w:val="auto"/>
                <w:sz w:val="24"/>
                <w:highlight w:val="none"/>
                <w:lang w:val="en-US" w:eastAsia="zh-CN"/>
              </w:rPr>
              <w:t>专业</w:t>
            </w:r>
            <w:r>
              <w:rPr>
                <w:rFonts w:hint="default" w:ascii="Times New Roman" w:hAnsi="Times New Roman" w:eastAsia="方正仿宋_GBK" w:cs="Times New Roman"/>
                <w:color w:val="auto"/>
                <w:sz w:val="24"/>
                <w:highlight w:val="none"/>
                <w:lang w:val="en-US" w:eastAsia="zh-CN"/>
              </w:rPr>
              <w:t>咨询机构</w:t>
            </w:r>
            <w:r>
              <w:rPr>
                <w:rFonts w:hint="eastAsia" w:ascii="Times New Roman" w:hAnsi="Times New Roman" w:eastAsia="方正仿宋_GBK" w:cs="Times New Roman"/>
                <w:color w:val="auto"/>
                <w:sz w:val="24"/>
                <w:highlight w:val="none"/>
                <w:lang w:val="en-US" w:eastAsia="zh-CN"/>
              </w:rPr>
              <w:t>及服务支持单位（银行、会所、律所、券商及可研编制单位等）</w:t>
            </w:r>
            <w:r>
              <w:rPr>
                <w:rFonts w:hint="default" w:ascii="Times New Roman" w:hAnsi="Times New Roman" w:eastAsia="方正仿宋_GBK" w:cs="Times New Roman"/>
                <w:color w:val="auto"/>
                <w:sz w:val="24"/>
                <w:highlight w:val="none"/>
                <w:lang w:val="en-US" w:eastAsia="zh-CN"/>
              </w:rPr>
              <w:t>工作经历一年以上正式员工。</w:t>
            </w:r>
            <w:r>
              <w:rPr>
                <w:rFonts w:hint="eastAsia" w:ascii="Times New Roman" w:hAnsi="Times New Roman" w:eastAsia="方正仿宋_GBK" w:cs="Times New Roman"/>
                <w:color w:val="auto"/>
                <w:sz w:val="24"/>
                <w:highlight w:val="none"/>
                <w:lang w:val="en-US" w:eastAsia="zh-CN"/>
              </w:rPr>
              <w:t>相关人员未提供证明的，不得分。</w:t>
            </w:r>
          </w:p>
          <w:p>
            <w:pPr>
              <w:keepNext w:val="0"/>
              <w:keepLines w:val="0"/>
              <w:pageBreakBefore w:val="0"/>
              <w:numPr>
                <w:ilvl w:val="0"/>
                <w:numId w:val="1"/>
              </w:numPr>
              <w:kinsoku/>
              <w:wordWrap/>
              <w:overflowPunct/>
              <w:topLinePunct w:val="0"/>
              <w:autoSpaceDE/>
              <w:autoSpaceDN/>
              <w:bidi w:val="0"/>
              <w:adjustRightInd/>
              <w:spacing w:line="300" w:lineRule="exact"/>
              <w:textAlignment w:val="auto"/>
              <w:rPr>
                <w:rFonts w:hint="eastAsia"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项目</w:t>
            </w:r>
            <w:r>
              <w:rPr>
                <w:rFonts w:hint="eastAsia" w:ascii="Times New Roman" w:hAnsi="Times New Roman" w:eastAsia="方正仿宋_GBK" w:cs="Times New Roman"/>
                <w:color w:val="auto"/>
                <w:sz w:val="24"/>
                <w:highlight w:val="none"/>
                <w:lang w:val="en-US" w:eastAsia="zh-CN"/>
              </w:rPr>
              <w:t>主要</w:t>
            </w:r>
            <w:r>
              <w:rPr>
                <w:rFonts w:hint="default" w:ascii="Times New Roman" w:hAnsi="Times New Roman" w:eastAsia="方正仿宋_GBK" w:cs="Times New Roman"/>
                <w:color w:val="auto"/>
                <w:sz w:val="24"/>
                <w:highlight w:val="none"/>
                <w:lang w:val="en-US" w:eastAsia="zh-CN"/>
              </w:rPr>
              <w:t>负责人：具有正高级职称</w:t>
            </w:r>
            <w:r>
              <w:rPr>
                <w:rFonts w:hint="eastAsia" w:ascii="Times New Roman" w:hAnsi="Times New Roman" w:eastAsia="方正仿宋_GBK" w:cs="Times New Roman"/>
                <w:color w:val="auto"/>
                <w:sz w:val="24"/>
                <w:highlight w:val="none"/>
                <w:lang w:val="en-US" w:eastAsia="zh-CN"/>
              </w:rPr>
              <w:t>或职务为专业咨询机构副总经理及以上的得2分，</w:t>
            </w:r>
            <w:r>
              <w:rPr>
                <w:rFonts w:hint="default" w:ascii="Times New Roman" w:hAnsi="Times New Roman" w:eastAsia="方正仿宋_GBK" w:cs="Times New Roman"/>
                <w:color w:val="auto"/>
                <w:sz w:val="24"/>
                <w:highlight w:val="none"/>
                <w:lang w:val="en-US" w:eastAsia="zh-CN"/>
              </w:rPr>
              <w:t>具有副高职称</w:t>
            </w:r>
            <w:r>
              <w:rPr>
                <w:rFonts w:hint="eastAsia" w:ascii="Times New Roman" w:hAnsi="Times New Roman" w:eastAsia="方正仿宋_GBK" w:cs="Times New Roman"/>
                <w:color w:val="auto"/>
                <w:sz w:val="24"/>
                <w:highlight w:val="none"/>
                <w:lang w:val="en-US" w:eastAsia="zh-CN"/>
              </w:rPr>
              <w:t>或职务为专业咨询机构部门负责人的得1分；具有2019年1月1日-2022年6月30日期间主持过地方政府专项债发行咨询服务项目经验的，每提供一个业绩</w:t>
            </w:r>
            <w:r>
              <w:rPr>
                <w:rFonts w:hint="default" w:ascii="Times New Roman" w:hAnsi="Times New Roman" w:eastAsia="方正仿宋_GBK" w:cs="Times New Roman"/>
                <w:color w:val="auto"/>
                <w:sz w:val="24"/>
                <w:highlight w:val="none"/>
                <w:lang w:val="en-US" w:eastAsia="zh-CN"/>
              </w:rPr>
              <w:t>得</w:t>
            </w:r>
            <w:r>
              <w:rPr>
                <w:rFonts w:hint="eastAsia"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lang w:val="en-US" w:eastAsia="zh-CN"/>
              </w:rPr>
              <w:t>分</w:t>
            </w:r>
            <w:r>
              <w:rPr>
                <w:rFonts w:hint="eastAsia" w:ascii="Times New Roman" w:hAnsi="Times New Roman" w:eastAsia="方正仿宋_GBK" w:cs="Times New Roman"/>
                <w:color w:val="auto"/>
                <w:sz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spacing w:line="300" w:lineRule="exact"/>
              <w:textAlignment w:val="auto"/>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本项</w:t>
            </w:r>
            <w:r>
              <w:rPr>
                <w:rFonts w:hint="default" w:ascii="Times New Roman" w:hAnsi="Times New Roman" w:eastAsia="方正仿宋_GBK" w:cs="Times New Roman"/>
                <w:color w:val="auto"/>
                <w:sz w:val="24"/>
                <w:highlight w:val="none"/>
                <w:lang w:val="en-US" w:eastAsia="zh-CN"/>
              </w:rPr>
              <w:t>最高得</w:t>
            </w:r>
            <w:r>
              <w:rPr>
                <w:rFonts w:hint="eastAsia" w:ascii="Times New Roman" w:hAnsi="Times New Roman" w:eastAsia="方正仿宋_GBK" w:cs="Times New Roman"/>
                <w:color w:val="auto"/>
                <w:sz w:val="24"/>
                <w:highlight w:val="none"/>
                <w:lang w:val="en-US" w:eastAsia="zh-CN"/>
              </w:rPr>
              <w:t>7</w:t>
            </w:r>
            <w:r>
              <w:rPr>
                <w:rFonts w:hint="default" w:ascii="Times New Roman" w:hAnsi="Times New Roman" w:eastAsia="方正仿宋_GBK" w:cs="Times New Roman"/>
                <w:color w:val="auto"/>
                <w:sz w:val="24"/>
                <w:highlight w:val="none"/>
                <w:lang w:val="en-US" w:eastAsia="zh-CN"/>
              </w:rPr>
              <w:t>分。</w:t>
            </w:r>
            <w:r>
              <w:rPr>
                <w:rFonts w:hint="eastAsia" w:ascii="Times New Roman" w:hAnsi="Times New Roman" w:eastAsia="方正仿宋_GBK" w:cs="Times New Roman"/>
                <w:color w:val="auto"/>
                <w:sz w:val="24"/>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300" w:lineRule="exact"/>
              <w:textAlignment w:val="auto"/>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未提供相关业绩证明的，不得分。</w:t>
            </w:r>
          </w:p>
          <w:p>
            <w:pPr>
              <w:keepNext w:val="0"/>
              <w:keepLines w:val="0"/>
              <w:pageBreakBefore w:val="0"/>
              <w:numPr>
                <w:ilvl w:val="0"/>
                <w:numId w:val="1"/>
              </w:numPr>
              <w:kinsoku/>
              <w:wordWrap/>
              <w:overflowPunct/>
              <w:topLinePunct w:val="0"/>
              <w:autoSpaceDE/>
              <w:autoSpaceDN/>
              <w:bidi w:val="0"/>
              <w:adjustRightInd/>
              <w:spacing w:line="300" w:lineRule="exact"/>
              <w:textAlignment w:val="auto"/>
              <w:rPr>
                <w:rFonts w:hint="eastAsia"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项目技术负责人：具有正高级职称</w:t>
            </w:r>
            <w:r>
              <w:rPr>
                <w:rFonts w:hint="eastAsia" w:ascii="Times New Roman" w:hAnsi="Times New Roman" w:eastAsia="方正仿宋_GBK" w:cs="Times New Roman"/>
                <w:color w:val="auto"/>
                <w:sz w:val="24"/>
                <w:highlight w:val="none"/>
                <w:lang w:val="en-US" w:eastAsia="zh-CN"/>
              </w:rPr>
              <w:t>或职务为专业咨询机构部门负责人或合伙人的得2分，</w:t>
            </w:r>
            <w:r>
              <w:rPr>
                <w:rFonts w:hint="default" w:ascii="Times New Roman" w:hAnsi="Times New Roman" w:eastAsia="方正仿宋_GBK" w:cs="Times New Roman"/>
                <w:color w:val="auto"/>
                <w:sz w:val="24"/>
                <w:highlight w:val="none"/>
                <w:lang w:val="en-US" w:eastAsia="zh-CN"/>
              </w:rPr>
              <w:t>具有</w:t>
            </w:r>
            <w:r>
              <w:rPr>
                <w:rFonts w:hint="eastAsia" w:ascii="Times New Roman" w:hAnsi="Times New Roman" w:eastAsia="方正仿宋_GBK" w:cs="Times New Roman"/>
                <w:color w:val="auto"/>
                <w:sz w:val="24"/>
                <w:highlight w:val="none"/>
                <w:lang w:val="en-US" w:eastAsia="zh-CN"/>
              </w:rPr>
              <w:t>副</w:t>
            </w:r>
            <w:r>
              <w:rPr>
                <w:rFonts w:hint="default" w:ascii="Times New Roman" w:hAnsi="Times New Roman" w:eastAsia="方正仿宋_GBK" w:cs="Times New Roman"/>
                <w:color w:val="auto"/>
                <w:sz w:val="24"/>
                <w:highlight w:val="none"/>
                <w:lang w:val="en-US" w:eastAsia="zh-CN"/>
              </w:rPr>
              <w:t>高级职称</w:t>
            </w:r>
            <w:r>
              <w:rPr>
                <w:rFonts w:hint="eastAsia" w:ascii="Times New Roman" w:hAnsi="Times New Roman" w:eastAsia="方正仿宋_GBK" w:cs="Times New Roman"/>
                <w:color w:val="auto"/>
                <w:sz w:val="24"/>
                <w:highlight w:val="none"/>
                <w:lang w:val="en-US" w:eastAsia="zh-CN"/>
              </w:rPr>
              <w:t>或职务为专业咨询机构部门业务经理的得1分；具有2019年1月1日-2022年6月30日期间有地方政府专项债发行咨询服务项目经验的，每提供一个业绩</w:t>
            </w:r>
            <w:r>
              <w:rPr>
                <w:rFonts w:hint="default" w:ascii="Times New Roman" w:hAnsi="Times New Roman" w:eastAsia="方正仿宋_GBK" w:cs="Times New Roman"/>
                <w:color w:val="auto"/>
                <w:sz w:val="24"/>
                <w:highlight w:val="none"/>
                <w:lang w:val="en-US" w:eastAsia="zh-CN"/>
              </w:rPr>
              <w:t>得</w:t>
            </w:r>
            <w:r>
              <w:rPr>
                <w:rFonts w:hint="eastAsia"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lang w:val="en-US" w:eastAsia="zh-CN"/>
              </w:rPr>
              <w:t>分</w:t>
            </w:r>
            <w:r>
              <w:rPr>
                <w:rFonts w:hint="eastAsia" w:ascii="Times New Roman" w:hAnsi="Times New Roman" w:eastAsia="方正仿宋_GBK" w:cs="Times New Roman"/>
                <w:color w:val="auto"/>
                <w:sz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spacing w:line="300" w:lineRule="exact"/>
              <w:ind w:leftChars="0"/>
              <w:textAlignment w:val="auto"/>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本项</w:t>
            </w:r>
            <w:r>
              <w:rPr>
                <w:rFonts w:hint="default" w:ascii="Times New Roman" w:hAnsi="Times New Roman" w:eastAsia="方正仿宋_GBK" w:cs="Times New Roman"/>
                <w:color w:val="auto"/>
                <w:sz w:val="24"/>
                <w:highlight w:val="none"/>
                <w:lang w:val="en-US" w:eastAsia="zh-CN"/>
              </w:rPr>
              <w:t>最高得</w:t>
            </w:r>
            <w:r>
              <w:rPr>
                <w:rFonts w:hint="eastAsia" w:ascii="Times New Roman" w:hAnsi="Times New Roman" w:eastAsia="方正仿宋_GBK" w:cs="Times New Roman"/>
                <w:color w:val="auto"/>
                <w:sz w:val="24"/>
                <w:highlight w:val="none"/>
                <w:lang w:val="en-US" w:eastAsia="zh-CN"/>
              </w:rPr>
              <w:t>7</w:t>
            </w:r>
            <w:r>
              <w:rPr>
                <w:rFonts w:hint="default" w:ascii="Times New Roman" w:hAnsi="Times New Roman" w:eastAsia="方正仿宋_GBK" w:cs="Times New Roman"/>
                <w:color w:val="auto"/>
                <w:sz w:val="24"/>
                <w:highlight w:val="none"/>
                <w:lang w:val="en-US" w:eastAsia="zh-CN"/>
              </w:rPr>
              <w:t>分。</w:t>
            </w:r>
            <w:r>
              <w:rPr>
                <w:rFonts w:hint="eastAsia" w:ascii="Times New Roman" w:hAnsi="Times New Roman" w:eastAsia="方正仿宋_GBK" w:cs="Times New Roman"/>
                <w:color w:val="auto"/>
                <w:sz w:val="24"/>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300" w:lineRule="exact"/>
              <w:ind w:leftChars="0"/>
              <w:textAlignment w:val="auto"/>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相关业绩未提供证明的，不得分。</w:t>
            </w:r>
          </w:p>
          <w:p>
            <w:pPr>
              <w:keepNext w:val="0"/>
              <w:keepLines w:val="0"/>
              <w:pageBreakBefore w:val="0"/>
              <w:numPr>
                <w:ilvl w:val="0"/>
                <w:numId w:val="1"/>
              </w:numPr>
              <w:kinsoku/>
              <w:wordWrap/>
              <w:overflowPunct/>
              <w:topLinePunct w:val="0"/>
              <w:autoSpaceDE/>
              <w:autoSpaceDN/>
              <w:bidi w:val="0"/>
              <w:adjustRightInd/>
              <w:spacing w:line="300" w:lineRule="exact"/>
              <w:textAlignment w:val="auto"/>
              <w:rPr>
                <w:rFonts w:hint="eastAsia"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其他</w:t>
            </w:r>
            <w:r>
              <w:rPr>
                <w:rFonts w:hint="eastAsia" w:ascii="Times New Roman" w:hAnsi="Times New Roman" w:eastAsia="方正仿宋_GBK" w:cs="Times New Roman"/>
                <w:color w:val="auto"/>
                <w:sz w:val="24"/>
                <w:highlight w:val="none"/>
                <w:lang w:val="en-US" w:eastAsia="zh-CN"/>
              </w:rPr>
              <w:t>团队</w:t>
            </w:r>
            <w:r>
              <w:rPr>
                <w:rFonts w:hint="default" w:ascii="Times New Roman" w:hAnsi="Times New Roman" w:eastAsia="方正仿宋_GBK" w:cs="Times New Roman"/>
                <w:color w:val="auto"/>
                <w:sz w:val="24"/>
                <w:highlight w:val="none"/>
                <w:lang w:val="en-US" w:eastAsia="zh-CN"/>
              </w:rPr>
              <w:t>人员：</w:t>
            </w:r>
            <w:r>
              <w:rPr>
                <w:rFonts w:hint="eastAsia" w:ascii="Times New Roman" w:hAnsi="Times New Roman" w:eastAsia="方正仿宋_GBK" w:cs="Times New Roman"/>
                <w:color w:val="auto"/>
                <w:sz w:val="24"/>
                <w:highlight w:val="none"/>
                <w:lang w:val="en-US" w:eastAsia="zh-CN"/>
              </w:rPr>
              <w:t>具有2019年1月1日-2022年6月30日期间有地方政府专项债发行咨询服务项目经验的，每提供一个业绩</w:t>
            </w:r>
            <w:r>
              <w:rPr>
                <w:rFonts w:hint="default" w:ascii="Times New Roman" w:hAnsi="Times New Roman" w:eastAsia="方正仿宋_GBK" w:cs="Times New Roman"/>
                <w:color w:val="auto"/>
                <w:sz w:val="24"/>
                <w:highlight w:val="none"/>
                <w:lang w:val="en-US" w:eastAsia="zh-CN"/>
              </w:rPr>
              <w:t>得</w:t>
            </w:r>
            <w:r>
              <w:rPr>
                <w:rFonts w:hint="eastAsia"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lang w:val="en-US" w:eastAsia="zh-CN"/>
              </w:rPr>
              <w:t>分</w:t>
            </w:r>
            <w:r>
              <w:rPr>
                <w:rFonts w:hint="eastAsia" w:ascii="Times New Roman" w:hAnsi="Times New Roman" w:eastAsia="方正仿宋_GBK" w:cs="Times New Roman"/>
                <w:color w:val="auto"/>
                <w:sz w:val="24"/>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300" w:lineRule="exact"/>
              <w:ind w:leftChars="0"/>
              <w:textAlignment w:val="auto"/>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本项</w:t>
            </w:r>
            <w:r>
              <w:rPr>
                <w:rFonts w:hint="default" w:ascii="Times New Roman" w:hAnsi="Times New Roman" w:eastAsia="方正仿宋_GBK" w:cs="Times New Roman"/>
                <w:color w:val="auto"/>
                <w:sz w:val="24"/>
                <w:highlight w:val="none"/>
                <w:lang w:val="en-US" w:eastAsia="zh-CN"/>
              </w:rPr>
              <w:t>最高得</w:t>
            </w:r>
            <w:r>
              <w:rPr>
                <w:rFonts w:hint="eastAsia" w:ascii="Times New Roman" w:hAnsi="Times New Roman" w:eastAsia="方正仿宋_GBK" w:cs="Times New Roman"/>
                <w:color w:val="auto"/>
                <w:sz w:val="24"/>
                <w:highlight w:val="none"/>
                <w:lang w:val="en-US" w:eastAsia="zh-CN"/>
              </w:rPr>
              <w:t>6</w:t>
            </w:r>
            <w:r>
              <w:rPr>
                <w:rFonts w:hint="default" w:ascii="Times New Roman" w:hAnsi="Times New Roman" w:eastAsia="方正仿宋_GBK" w:cs="Times New Roman"/>
                <w:color w:val="auto"/>
                <w:sz w:val="24"/>
                <w:highlight w:val="none"/>
                <w:lang w:val="en-US" w:eastAsia="zh-CN"/>
              </w:rPr>
              <w:t>分。</w:t>
            </w:r>
            <w:r>
              <w:rPr>
                <w:rFonts w:hint="eastAsia" w:ascii="Times New Roman" w:hAnsi="Times New Roman" w:eastAsia="方正仿宋_GBK" w:cs="Times New Roman"/>
                <w:color w:val="auto"/>
                <w:sz w:val="24"/>
                <w:highlight w:val="none"/>
                <w:lang w:val="en-US" w:eastAsia="zh-CN"/>
              </w:rPr>
              <w:t xml:space="preserve">                                  </w:t>
            </w:r>
          </w:p>
          <w:p>
            <w:pPr>
              <w:keepNext w:val="0"/>
              <w:keepLines w:val="0"/>
              <w:pageBreakBefore w:val="0"/>
              <w:kinsoku/>
              <w:wordWrap/>
              <w:overflowPunct/>
              <w:topLinePunct w:val="0"/>
              <w:autoSpaceDE/>
              <w:autoSpaceDN/>
              <w:bidi w:val="0"/>
              <w:adjustRightInd/>
              <w:spacing w:line="300" w:lineRule="exact"/>
              <w:textAlignment w:val="auto"/>
              <w:rPr>
                <w:rFonts w:hint="eastAsia"/>
              </w:rPr>
            </w:pPr>
            <w:r>
              <w:rPr>
                <w:rFonts w:hint="eastAsia" w:ascii="Times New Roman" w:hAnsi="Times New Roman" w:eastAsia="方正仿宋_GBK" w:cs="Times New Roman"/>
                <w:color w:val="auto"/>
                <w:sz w:val="24"/>
                <w:highlight w:val="none"/>
                <w:lang w:val="en-US" w:eastAsia="zh-CN"/>
              </w:rPr>
              <w:t>相关业绩未提供证明的，不得分。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984" w:hRule="atLeast"/>
          <w:tblHeader/>
          <w:jc w:val="center"/>
        </w:trPr>
        <w:tc>
          <w:tcPr>
            <w:tcW w:w="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kern w:val="0"/>
                <w:sz w:val="24"/>
              </w:rPr>
            </w:pPr>
          </w:p>
        </w:tc>
        <w:tc>
          <w:tcPr>
            <w:tcW w:w="11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方正仿宋_GBK" w:hAnsi="方正仿宋_GBK" w:eastAsia="方正仿宋_GBK" w:cs="方正仿宋_GBK"/>
                <w:kern w:val="0"/>
                <w:sz w:val="24"/>
              </w:rPr>
            </w:pPr>
          </w:p>
        </w:tc>
        <w:tc>
          <w:tcPr>
            <w:tcW w:w="85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baseline"/>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业绩证明</w:t>
            </w:r>
          </w:p>
        </w:tc>
        <w:tc>
          <w:tcPr>
            <w:tcW w:w="54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default"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25</w:t>
            </w:r>
          </w:p>
        </w:tc>
        <w:tc>
          <w:tcPr>
            <w:tcW w:w="56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专业咨询机构及服务支持单位（银行、会所、律所、券商及可研编制单位等）提供2019年1月1日-2022年6月30日期间成功发行的地方政府专项债服务业绩。每提供一份地方政府专项债发行的可研报告及报审通过的证明文件，得1分（此项合计得分不得超过8分）；每提供一份地方政府专项债发行通过的《实施方案》，得1分（此项合计得</w:t>
            </w:r>
            <w:bookmarkStart w:id="0" w:name="_GoBack"/>
            <w:bookmarkEnd w:id="0"/>
            <w:r>
              <w:rPr>
                <w:rFonts w:hint="eastAsia" w:ascii="Times New Roman" w:hAnsi="Times New Roman" w:eastAsia="方正仿宋_GBK" w:cs="Times New Roman"/>
                <w:color w:val="auto"/>
                <w:sz w:val="24"/>
                <w:highlight w:val="none"/>
                <w:lang w:val="en-US" w:eastAsia="zh-CN"/>
              </w:rPr>
              <w:t>分不得超过6分）；每提供一份地方政府专项债发行通过的《财务平衡评价报告》，得1分（此项合计得分不得超过6分）；每提供一份地方政府专项债发行通过的《项目法律意见书》，得0.5分（此项合计得分不得超过5分），</w:t>
            </w:r>
          </w:p>
          <w:p>
            <w:pPr>
              <w:keepNext w:val="0"/>
              <w:keepLines w:val="0"/>
              <w:pageBreakBefore w:val="0"/>
              <w:kinsoku/>
              <w:wordWrap/>
              <w:overflowPunct/>
              <w:topLinePunct w:val="0"/>
              <w:autoSpaceDE/>
              <w:autoSpaceDN/>
              <w:bidi w:val="0"/>
              <w:adjustRightInd/>
              <w:spacing w:line="300" w:lineRule="exact"/>
              <w:textAlignment w:val="auto"/>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本项最高得25分。</w:t>
            </w:r>
          </w:p>
          <w:p>
            <w:pPr>
              <w:keepNext w:val="0"/>
              <w:keepLines w:val="0"/>
              <w:pageBreakBefore w:val="0"/>
              <w:kinsoku/>
              <w:wordWrap/>
              <w:overflowPunct/>
              <w:topLinePunct w:val="0"/>
              <w:autoSpaceDE/>
              <w:autoSpaceDN/>
              <w:bidi w:val="0"/>
              <w:adjustRightInd/>
              <w:spacing w:line="300" w:lineRule="exact"/>
              <w:textAlignment w:val="auto"/>
              <w:rPr>
                <w:rFonts w:hint="default" w:ascii="方正仿宋_GBK" w:hAnsi="方正仿宋_GBK" w:eastAsia="方正仿宋_GBK" w:cs="方正仿宋_GBK"/>
                <w:color w:val="auto"/>
                <w:kern w:val="0"/>
                <w:sz w:val="24"/>
                <w:lang w:val="en-US"/>
              </w:rPr>
            </w:pPr>
            <w:r>
              <w:rPr>
                <w:rFonts w:hint="eastAsia" w:ascii="Times New Roman" w:hAnsi="Times New Roman" w:eastAsia="方正仿宋_GBK" w:cs="Times New Roman"/>
                <w:color w:val="auto"/>
                <w:sz w:val="24"/>
                <w:highlight w:val="none"/>
                <w:lang w:val="en-US" w:eastAsia="zh-CN"/>
              </w:rPr>
              <w:t>提供以上业绩的主体要与专业咨询机构及明确的服务支持单位名单保持一致，未提供证明的，不得分。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377E0"/>
    <w:multiLevelType w:val="singleLevel"/>
    <w:tmpl w:val="A28377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40A25"/>
    <w:rsid w:val="720A45A0"/>
    <w:rsid w:val="754F7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2022-07-11T09:16:00Z</dcterms:created>
  <dc:creator>nt</dc:creator>
  <cp:lastModifiedBy>nt</cp:lastModifiedBy>
  <dcterms:modified xsi:type="dcterms:W3CDTF">2022-07-11T09:55:09Z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