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textAlignment w:val="baseline"/>
        <w:rPr>
          <w:rFonts w:hint="eastAsia" w:ascii="方正黑体_GBK" w:hAnsi="方正黑体_GBK" w:eastAsia="方正黑体_GBK" w:cs="方正黑体_GBK"/>
          <w:sz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lang w:val="en-US" w:eastAsia="zh-CN"/>
        </w:rPr>
        <w:t>附件4：评选方式</w:t>
      </w:r>
    </w:p>
    <w:p>
      <w:pPr>
        <w:widowControl/>
        <w:spacing w:line="600" w:lineRule="exact"/>
        <w:textAlignment w:val="baseline"/>
        <w:rPr>
          <w:rFonts w:hint="eastAsia" w:ascii="方正仿宋_GBK" w:hAnsi="方正仿宋_GBK" w:eastAsia="方正仿宋_GBK"/>
          <w:sz w:val="32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baseline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一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）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评选原则</w:t>
      </w:r>
      <w:bookmarkStart w:id="0" w:name="_GoBack"/>
      <w:bookmarkEnd w:id="0"/>
    </w:p>
    <w:p>
      <w:pPr>
        <w:pageBreakBefore w:val="0"/>
        <w:widowControl w:val="0"/>
        <w:tabs>
          <w:tab w:val="left" w:pos="1050"/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评标原则遵循公平、公正、科学和择优的原则。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baseline"/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二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）得分计算方式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jc w:val="left"/>
        <w:textAlignment w:val="baseline"/>
        <w:rPr>
          <w:rFonts w:ascii="方正仿宋_GBK" w:hAnsi="方正仿宋_GBK" w:eastAsia="方正仿宋_GBK" w:cs="方正仿宋_GBK"/>
          <w:color w:val="auto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得分计算方式，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</w:rPr>
        <w:t>最终得分=投标报价得分+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/>
        </w:rPr>
        <w:t>方案评估得分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</w:rPr>
        <w:t>+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/>
        </w:rPr>
        <w:t>综合服务实力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</w:rPr>
        <w:t>得分。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jc w:val="left"/>
        <w:textAlignment w:val="baseline"/>
        <w:rPr>
          <w:rFonts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评选委员会委员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对各专业咨询机构比选文件进行评审后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，应在所有评委打分中去掉一个最高和一个最低分，余下评委打分取算术平均值为该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专业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咨询机构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方案评估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得分。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960" w:firstLineChars="300"/>
        <w:textAlignment w:val="baseline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以上计算取小数点后两位，第三位四舍五入。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BD5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2022-07-11T09:21:01Z</dcterms:created>
  <dc:creator>nt</dc:creator>
  <cp:lastModifiedBy>nt</cp:lastModifiedBy>
  <dcterms:modified xsi:type="dcterms:W3CDTF">2022-07-11T09:21:08Z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